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C278" w14:textId="1D3C9AAD" w:rsidR="006B67DE" w:rsidRPr="003424DF" w:rsidRDefault="00B64AE5" w:rsidP="0025644F">
      <w:pPr>
        <w:pStyle w:val="Heading1"/>
      </w:pPr>
      <w:bookmarkStart w:id="0" w:name="_Toc34038790"/>
      <w:r>
        <w:t>Fact Sheet: Consent</w:t>
      </w:r>
      <w:r w:rsidR="00827A14">
        <w:t xml:space="preserve"> for Use </w:t>
      </w:r>
      <w:r w:rsidR="00E70C72">
        <w:t>or Disclosure</w:t>
      </w:r>
    </w:p>
    <w:p w14:paraId="75216482" w14:textId="74ACD3FA" w:rsidR="006B67DE" w:rsidRDefault="003E355F" w:rsidP="003E355F">
      <w:r>
        <w:t xml:space="preserve">The </w:t>
      </w:r>
      <w:r w:rsidRPr="00D831C9">
        <w:rPr>
          <w:i/>
          <w:iCs/>
        </w:rPr>
        <w:t>Protection of Privacy Act</w:t>
      </w:r>
      <w:r w:rsidR="00FE44A2">
        <w:t xml:space="preserve"> (POPA)</w:t>
      </w:r>
      <w:r>
        <w:t xml:space="preserve"> requires a public body to obtain consent </w:t>
      </w:r>
      <w:r w:rsidR="0024386B">
        <w:t xml:space="preserve">“in the prescribed manner” for the use or disclosure </w:t>
      </w:r>
      <w:r w:rsidR="002839B2">
        <w:t>of personal information</w:t>
      </w:r>
      <w:r w:rsidR="00D831C9">
        <w:t xml:space="preserve"> under specific and limited circumstances.</w:t>
      </w:r>
      <w:r w:rsidR="002839B2">
        <w:t xml:space="preserve"> </w:t>
      </w:r>
    </w:p>
    <w:p w14:paraId="3F09A68D" w14:textId="77777777" w:rsidR="00BA0973" w:rsidRDefault="00BA0973" w:rsidP="00D723B6">
      <w:pPr>
        <w:pStyle w:val="Heading3"/>
        <w:sectPr w:rsidR="00BA0973" w:rsidSect="00C362B2">
          <w:footerReference w:type="even" r:id="rId12"/>
          <w:footerReference w:type="default" r:id="rId13"/>
          <w:footerReference w:type="first" r:id="rId14"/>
          <w:type w:val="continuous"/>
          <w:pgSz w:w="12240" w:h="15840" w:code="1"/>
          <w:pgMar w:top="1080" w:right="1080" w:bottom="1440" w:left="1080" w:header="547" w:footer="403" w:gutter="0"/>
          <w:cols w:space="360"/>
          <w:docGrid w:linePitch="360"/>
        </w:sectPr>
      </w:pPr>
    </w:p>
    <w:bookmarkEnd w:id="0"/>
    <w:p w14:paraId="5552745C" w14:textId="67FA668E" w:rsidR="00D24759" w:rsidRPr="00D723B6" w:rsidRDefault="00556EED" w:rsidP="00D24759">
      <w:pPr>
        <w:pStyle w:val="Heading3"/>
      </w:pPr>
      <w:r>
        <w:t>Authority-Based Legislation</w:t>
      </w:r>
    </w:p>
    <w:p w14:paraId="041F6EB4" w14:textId="491B31D9" w:rsidR="00352871" w:rsidRDefault="00352871" w:rsidP="007914E7">
      <w:bookmarkStart w:id="1" w:name="_Toc34038791"/>
      <w:r>
        <w:t>POPA is authority-based, meaning a public body may only collect, use or disclose personal information i</w:t>
      </w:r>
      <w:r w:rsidR="00644DC3">
        <w:t xml:space="preserve">f a </w:t>
      </w:r>
      <w:r w:rsidR="00562C58">
        <w:t>particular</w:t>
      </w:r>
      <w:r w:rsidR="00603EEB">
        <w:t xml:space="preserve"> section of the Act authorizes it. </w:t>
      </w:r>
      <w:r w:rsidR="005256D6">
        <w:t>A public body may not collect personal information solely based on consent. Consent is also not necessarily required for a public body to use or disclose personal information.</w:t>
      </w:r>
    </w:p>
    <w:p w14:paraId="1522E4AA" w14:textId="25533720" w:rsidR="00077D42" w:rsidRDefault="00D03AF8" w:rsidP="00D03AF8">
      <w:r w:rsidRPr="007D0E54">
        <w:t>Consent is only required</w:t>
      </w:r>
      <w:r>
        <w:t xml:space="preserve"> under </w:t>
      </w:r>
      <w:r w:rsidR="00B14B09">
        <w:t>POPA</w:t>
      </w:r>
      <w:r w:rsidR="008A7B75">
        <w:t xml:space="preserve"> in limited </w:t>
      </w:r>
      <w:r w:rsidR="009D0424">
        <w:t>circumstances</w:t>
      </w:r>
      <w:r>
        <w:t xml:space="preserve"> when </w:t>
      </w:r>
      <w:r w:rsidR="0071155F">
        <w:t xml:space="preserve">a public body relies on: </w:t>
      </w:r>
    </w:p>
    <w:p w14:paraId="081938B8" w14:textId="215E8431" w:rsidR="0071155F" w:rsidRDefault="0071155F" w:rsidP="0071155F">
      <w:pPr>
        <w:pStyle w:val="ListParagraph"/>
        <w:numPr>
          <w:ilvl w:val="0"/>
          <w:numId w:val="20"/>
        </w:numPr>
      </w:pPr>
      <w:r w:rsidRPr="00981960">
        <w:rPr>
          <w:b/>
          <w:bCs/>
        </w:rPr>
        <w:t>Section 12(1)(b)</w:t>
      </w:r>
      <w:r>
        <w:t xml:space="preserve"> – for the use of personal information</w:t>
      </w:r>
      <w:r w:rsidR="00981960">
        <w:t>.</w:t>
      </w:r>
      <w:r>
        <w:t xml:space="preserve"> </w:t>
      </w:r>
    </w:p>
    <w:p w14:paraId="2EA0FD2A" w14:textId="0ED3F0A2" w:rsidR="0071155F" w:rsidRDefault="00981960" w:rsidP="0071155F">
      <w:pPr>
        <w:pStyle w:val="ListParagraph"/>
        <w:numPr>
          <w:ilvl w:val="0"/>
          <w:numId w:val="20"/>
        </w:numPr>
      </w:pPr>
      <w:r w:rsidRPr="00981960">
        <w:rPr>
          <w:b/>
          <w:bCs/>
        </w:rPr>
        <w:t xml:space="preserve">Section </w:t>
      </w:r>
      <w:r w:rsidR="0071155F" w:rsidRPr="00981960">
        <w:rPr>
          <w:b/>
          <w:bCs/>
        </w:rPr>
        <w:t>13(1)(c)</w:t>
      </w:r>
      <w:r w:rsidR="0071155F">
        <w:t xml:space="preserve"> </w:t>
      </w:r>
      <w:r>
        <w:t xml:space="preserve">– for the disclosure of personal information. </w:t>
      </w:r>
    </w:p>
    <w:p w14:paraId="3650ABEE" w14:textId="3FE2410E" w:rsidR="005E548A" w:rsidRDefault="005256D6" w:rsidP="007914E7">
      <w:pPr>
        <w:rPr>
          <w:lang w:val="en-CA"/>
        </w:rPr>
      </w:pPr>
      <w:r>
        <w:rPr>
          <w:lang w:val="en-CA"/>
        </w:rPr>
        <w:t xml:space="preserve">There are many </w:t>
      </w:r>
      <w:r w:rsidR="000F1D75">
        <w:rPr>
          <w:lang w:val="en-CA"/>
        </w:rPr>
        <w:t>legal authorities</w:t>
      </w:r>
      <w:r w:rsidR="00C36E7A">
        <w:rPr>
          <w:lang w:val="en-CA"/>
        </w:rPr>
        <w:t xml:space="preserve"> </w:t>
      </w:r>
      <w:r>
        <w:rPr>
          <w:lang w:val="en-CA"/>
        </w:rPr>
        <w:t xml:space="preserve">for use and disclosure of personal information </w:t>
      </w:r>
      <w:r w:rsidR="00C36E7A">
        <w:rPr>
          <w:lang w:val="en-CA"/>
        </w:rPr>
        <w:t>under the Act</w:t>
      </w:r>
      <w:r w:rsidR="000F1D75">
        <w:rPr>
          <w:lang w:val="en-CA"/>
        </w:rPr>
        <w:t xml:space="preserve">. Consent should be </w:t>
      </w:r>
      <w:r w:rsidR="00D53375">
        <w:rPr>
          <w:lang w:val="en-CA"/>
        </w:rPr>
        <w:t xml:space="preserve">used only as a last resort when no other legal authority applies. </w:t>
      </w:r>
    </w:p>
    <w:bookmarkEnd w:id="1"/>
    <w:p w14:paraId="62DD179F" w14:textId="0E82B9E9" w:rsidR="000E040B" w:rsidRDefault="000E040B" w:rsidP="000E040B">
      <w:pPr>
        <w:pStyle w:val="Heading3"/>
      </w:pPr>
      <w:r>
        <w:t xml:space="preserve">Consent </w:t>
      </w:r>
      <w:r w:rsidR="009768F5">
        <w:t>for</w:t>
      </w:r>
      <w:r>
        <w:t xml:space="preserve"> Use or Disclose</w:t>
      </w:r>
    </w:p>
    <w:p w14:paraId="481965B3" w14:textId="470E08CB" w:rsidR="001F502E" w:rsidRDefault="001F502E" w:rsidP="000521CF">
      <w:r>
        <w:t>Section 12(</w:t>
      </w:r>
      <w:r w:rsidR="00E417A2">
        <w:t>1</w:t>
      </w:r>
      <w:r>
        <w:t>)</w:t>
      </w:r>
      <w:r w:rsidR="00E417A2">
        <w:t>(b)</w:t>
      </w:r>
      <w:r w:rsidR="000E040B">
        <w:t xml:space="preserve"> </w:t>
      </w:r>
      <w:r w:rsidR="00E417A2">
        <w:t>authorizes a public body to use personal information if the individual whom the information is</w:t>
      </w:r>
      <w:r w:rsidR="0048452E">
        <w:t xml:space="preserve"> about has identified the specific information, and provided consent, in the prescribed manner, for its use for a particular purpose. </w:t>
      </w:r>
    </w:p>
    <w:p w14:paraId="749D62AF" w14:textId="015EAD3A" w:rsidR="002A5227" w:rsidRDefault="00B20260" w:rsidP="000521CF">
      <w:r>
        <w:t>S</w:t>
      </w:r>
      <w:r w:rsidR="002A5227">
        <w:t xml:space="preserve">ection 13(1)(c) authorizes a public body to disclose personal information </w:t>
      </w:r>
      <w:r w:rsidR="009A537C">
        <w:t>if the individual whom the information is about has identified the specific information, and provided consent, in the prescribed manner, for its disclosure for a particular purpose.</w:t>
      </w:r>
      <w:r w:rsidR="00377460">
        <w:t xml:space="preserve"> </w:t>
      </w:r>
    </w:p>
    <w:p w14:paraId="13426138" w14:textId="7910F6EC" w:rsidR="00E547A8" w:rsidRDefault="00E547A8" w:rsidP="00642C97">
      <w:r>
        <w:t>Both sections specify that consent</w:t>
      </w:r>
      <w:r w:rsidR="00045542">
        <w:t xml:space="preserve"> must be obtained “in the prescribed manner</w:t>
      </w:r>
      <w:r w:rsidR="00442D31">
        <w:t>.</w:t>
      </w:r>
      <w:r w:rsidR="00045542">
        <w:t>”</w:t>
      </w:r>
      <w:r w:rsidR="00442D31">
        <w:t xml:space="preserve"> This means that the consent is only valid if the public body has met all the applicable requirements for obtaining consent as set out in section 2 of the </w:t>
      </w:r>
      <w:r w:rsidR="00442D31" w:rsidRPr="00D64E92">
        <w:t>Protection of Privacy Regulation</w:t>
      </w:r>
      <w:r w:rsidR="00442D31">
        <w:t xml:space="preserve">. </w:t>
      </w:r>
      <w:r w:rsidR="00045542">
        <w:t xml:space="preserve"> </w:t>
      </w:r>
    </w:p>
    <w:p w14:paraId="0AD12DBC" w14:textId="6C1651E0" w:rsidR="00642C97" w:rsidRPr="00D723B6" w:rsidRDefault="004A2C79" w:rsidP="00642C97">
      <w:pPr>
        <w:pStyle w:val="Heading3"/>
      </w:pPr>
      <w:bookmarkStart w:id="2" w:name="_Common_Standards"/>
      <w:bookmarkEnd w:id="2"/>
      <w:r>
        <w:t xml:space="preserve">Consent </w:t>
      </w:r>
      <w:r w:rsidR="005373D5">
        <w:t>Standards</w:t>
      </w:r>
    </w:p>
    <w:p w14:paraId="0157C004" w14:textId="54ADF24D" w:rsidR="00ED05EA" w:rsidRDefault="005373D5" w:rsidP="00ED05EA">
      <w:r>
        <w:t>Consent can be obtained</w:t>
      </w:r>
      <w:r w:rsidR="00C72DDD">
        <w:t xml:space="preserve"> in writing, </w:t>
      </w:r>
      <w:r w:rsidR="00F27B0A">
        <w:t xml:space="preserve">electronically, </w:t>
      </w:r>
      <w:r w:rsidR="001E532D">
        <w:t xml:space="preserve">or orally. </w:t>
      </w:r>
      <w:r w:rsidR="00F041C0">
        <w:t xml:space="preserve">The </w:t>
      </w:r>
      <w:r w:rsidR="00BA08A6" w:rsidRPr="008B2730">
        <w:t>Protection of Privacy Regulation</w:t>
      </w:r>
      <w:r w:rsidR="00FD5F36">
        <w:t xml:space="preserve"> </w:t>
      </w:r>
      <w:r w:rsidR="00901420">
        <w:t>prescribes</w:t>
      </w:r>
      <w:r w:rsidR="00FD5F36">
        <w:t xml:space="preserve"> specific </w:t>
      </w:r>
      <w:r w:rsidR="00A9732D">
        <w:t xml:space="preserve">requirements </w:t>
      </w:r>
      <w:r w:rsidR="00B165A4">
        <w:t xml:space="preserve">for each </w:t>
      </w:r>
      <w:r w:rsidR="00692783">
        <w:t>method</w:t>
      </w:r>
      <w:r w:rsidR="00D45A1E">
        <w:t xml:space="preserve"> under subsections 2(3), (4) and (5) respectively.</w:t>
      </w:r>
      <w:r w:rsidR="00ED05EA" w:rsidRPr="00ED05EA">
        <w:t xml:space="preserve"> </w:t>
      </w:r>
      <w:r w:rsidR="00ED05EA">
        <w:t>Public bodies may choose the form of consent that best suits their needs, provided all relevant requirements are met</w:t>
      </w:r>
      <w:r w:rsidR="00F86986">
        <w:t>.</w:t>
      </w:r>
    </w:p>
    <w:p w14:paraId="251FB280" w14:textId="5B33FE9B" w:rsidR="00AB21E6" w:rsidRDefault="00B02A74" w:rsidP="00ED05EA">
      <w:r>
        <w:t xml:space="preserve">Public bodies must </w:t>
      </w:r>
      <w:r w:rsidR="009768F5">
        <w:t>allow</w:t>
      </w:r>
      <w:r w:rsidR="00AE624E">
        <w:t xml:space="preserve"> written consent, even if they choose to accept electronic or oral consent. </w:t>
      </w:r>
      <w:r w:rsidR="00B64A00">
        <w:t xml:space="preserve">Similarly, </w:t>
      </w:r>
      <w:r w:rsidR="00827A14">
        <w:t xml:space="preserve">they are not obligated to accept consent in electronic or oral form. </w:t>
      </w:r>
      <w:r w:rsidR="004845AF">
        <w:t xml:space="preserve"> </w:t>
      </w:r>
    </w:p>
    <w:p w14:paraId="0176FBFE" w14:textId="33DAF3ED" w:rsidR="005373D5" w:rsidRDefault="00D45A1E" w:rsidP="00642C97">
      <w:r>
        <w:t>R</w:t>
      </w:r>
      <w:r w:rsidR="003C0967">
        <w:t>egardless o</w:t>
      </w:r>
      <w:r w:rsidR="002151A3">
        <w:t>f</w:t>
      </w:r>
      <w:r w:rsidR="004C4DD5">
        <w:t xml:space="preserve"> the method</w:t>
      </w:r>
      <w:r w:rsidR="003C0967">
        <w:t xml:space="preserve"> used, there are certain requirements common to all </w:t>
      </w:r>
      <w:r w:rsidR="000F0E3D">
        <w:t>three forms of consent</w:t>
      </w:r>
      <w:r w:rsidR="008C330F">
        <w:t>.</w:t>
      </w:r>
      <w:r w:rsidR="006748CD">
        <w:t xml:space="preserve"> </w:t>
      </w:r>
      <w:r w:rsidR="008C330F">
        <w:t xml:space="preserve">As per </w:t>
      </w:r>
      <w:r w:rsidR="006748CD">
        <w:t xml:space="preserve">section </w:t>
      </w:r>
      <w:r w:rsidR="00B05943">
        <w:t>2(2)</w:t>
      </w:r>
      <w:r w:rsidR="008C330F">
        <w:t>,</w:t>
      </w:r>
      <w:r w:rsidR="001521F3">
        <w:t xml:space="preserve"> </w:t>
      </w:r>
      <w:r w:rsidR="008C330F">
        <w:t>t</w:t>
      </w:r>
      <w:r w:rsidR="00382A03">
        <w:t>he consent must:</w:t>
      </w:r>
    </w:p>
    <w:p w14:paraId="2243765E" w14:textId="638EC2E9" w:rsidR="00726386" w:rsidRDefault="00382A03" w:rsidP="002151A3">
      <w:pPr>
        <w:pStyle w:val="ListParagraph"/>
        <w:numPr>
          <w:ilvl w:val="0"/>
          <w:numId w:val="16"/>
        </w:numPr>
      </w:pPr>
      <w:r>
        <w:t>M</w:t>
      </w:r>
      <w:r w:rsidR="00F15FF3">
        <w:t>eet the requirements of subsection (3), (4) or (5)</w:t>
      </w:r>
      <w:r w:rsidR="00727AAE">
        <w:t>,</w:t>
      </w:r>
    </w:p>
    <w:p w14:paraId="04F94032" w14:textId="60D94D1B" w:rsidR="00546712" w:rsidRDefault="00382A03" w:rsidP="002151A3">
      <w:pPr>
        <w:pStyle w:val="ListParagraph"/>
        <w:numPr>
          <w:ilvl w:val="0"/>
          <w:numId w:val="16"/>
        </w:numPr>
      </w:pPr>
      <w:r>
        <w:t>S</w:t>
      </w:r>
      <w:r w:rsidR="003F4B35">
        <w:t>pecify the personal information to which the consent relates</w:t>
      </w:r>
      <w:r w:rsidR="00727AAE">
        <w:t>,</w:t>
      </w:r>
    </w:p>
    <w:p w14:paraId="6AABB059" w14:textId="5F894348" w:rsidR="00382A03" w:rsidRDefault="00382A03" w:rsidP="002151A3">
      <w:pPr>
        <w:pStyle w:val="ListParagraph"/>
        <w:numPr>
          <w:ilvl w:val="0"/>
          <w:numId w:val="16"/>
        </w:numPr>
      </w:pPr>
      <w:r>
        <w:t xml:space="preserve">Specify to whom the personal information may be disclosed </w:t>
      </w:r>
      <w:r w:rsidR="00FC3463">
        <w:t>and how the personal information may be used</w:t>
      </w:r>
      <w:r w:rsidR="00727AAE">
        <w:t>,</w:t>
      </w:r>
      <w:r w:rsidR="00FC3463">
        <w:t xml:space="preserve"> and</w:t>
      </w:r>
    </w:p>
    <w:p w14:paraId="1CFEBB86" w14:textId="006EF218" w:rsidR="00FC3463" w:rsidRDefault="00FC3463" w:rsidP="002151A3">
      <w:pPr>
        <w:pStyle w:val="ListParagraph"/>
        <w:numPr>
          <w:ilvl w:val="0"/>
          <w:numId w:val="16"/>
        </w:numPr>
      </w:pPr>
      <w:r>
        <w:t xml:space="preserve">Specify the date on which the consent is effective, and if applicable, the date on which the consent expires. </w:t>
      </w:r>
    </w:p>
    <w:p w14:paraId="10F540C9" w14:textId="5CBB8B16" w:rsidR="00202024" w:rsidRPr="008309B1" w:rsidRDefault="00FD5218" w:rsidP="00007082">
      <w:r w:rsidRPr="008309B1">
        <w:t xml:space="preserve">As a best practice, </w:t>
      </w:r>
      <w:r w:rsidR="00A56A0A" w:rsidRPr="008309B1">
        <w:t>p</w:t>
      </w:r>
      <w:r w:rsidR="00945C32" w:rsidRPr="008309B1">
        <w:t xml:space="preserve">ublic bodies </w:t>
      </w:r>
      <w:r w:rsidR="00C65423">
        <w:t xml:space="preserve">should use </w:t>
      </w:r>
      <w:r w:rsidR="00A56A0A" w:rsidRPr="008309B1">
        <w:t xml:space="preserve">plain </w:t>
      </w:r>
      <w:r w:rsidR="004A2C79">
        <w:t xml:space="preserve">and simple </w:t>
      </w:r>
      <w:r w:rsidR="00A56A0A" w:rsidRPr="008309B1">
        <w:t>language</w:t>
      </w:r>
      <w:r w:rsidR="00C65423">
        <w:t xml:space="preserve"> </w:t>
      </w:r>
      <w:r w:rsidR="00F80AD6" w:rsidRPr="008309B1">
        <w:t>to</w:t>
      </w:r>
      <w:r w:rsidR="00C65423">
        <w:t xml:space="preserve"> promote</w:t>
      </w:r>
      <w:r w:rsidR="008309B1" w:rsidRPr="008309B1">
        <w:t xml:space="preserve"> accessibility and transparency. </w:t>
      </w:r>
    </w:p>
    <w:p w14:paraId="7EF1B70B" w14:textId="668A10B2" w:rsidR="00642C97" w:rsidRPr="00D723B6" w:rsidRDefault="003026A0" w:rsidP="00642C97">
      <w:pPr>
        <w:pStyle w:val="Heading3"/>
      </w:pPr>
      <w:r>
        <w:t>Written Consent</w:t>
      </w:r>
    </w:p>
    <w:p w14:paraId="5C15C7B2" w14:textId="13FB9DA3" w:rsidR="00540029" w:rsidRDefault="007C62D7" w:rsidP="00642C97">
      <w:r>
        <w:t>Written consent</w:t>
      </w:r>
      <w:r w:rsidR="00670290">
        <w:t xml:space="preserve"> refers to consent given on </w:t>
      </w:r>
      <w:r w:rsidR="00A46831">
        <w:t>paper</w:t>
      </w:r>
      <w:r w:rsidR="00111263">
        <w:t>.</w:t>
      </w:r>
      <w:r w:rsidR="00CE3FCA">
        <w:t xml:space="preserve"> </w:t>
      </w:r>
      <w:r w:rsidR="00111263">
        <w:t>F</w:t>
      </w:r>
      <w:r w:rsidR="007F0720">
        <w:t>or it</w:t>
      </w:r>
      <w:r w:rsidR="006F59D8">
        <w:t xml:space="preserve"> to be valid, </w:t>
      </w:r>
      <w:r w:rsidR="00477F16">
        <w:t>it must be signed by the individual who is giving the consen</w:t>
      </w:r>
      <w:r w:rsidR="0047379E">
        <w:t>t</w:t>
      </w:r>
      <w:r w:rsidR="00B81F7C">
        <w:t>,</w:t>
      </w:r>
      <w:r w:rsidR="00CE3FCA">
        <w:t xml:space="preserve"> as per section 2(3)</w:t>
      </w:r>
      <w:r w:rsidR="00111263">
        <w:t>,</w:t>
      </w:r>
      <w:r w:rsidR="0047379E">
        <w:t xml:space="preserve"> </w:t>
      </w:r>
      <w:r w:rsidR="00111263">
        <w:t>i</w:t>
      </w:r>
      <w:r w:rsidR="006F59D8">
        <w:t xml:space="preserve">.e., </w:t>
      </w:r>
      <w:r w:rsidR="00145AF3">
        <w:t xml:space="preserve">it requires a physical (wet) signature. </w:t>
      </w:r>
      <w:r w:rsidR="00E064C1">
        <w:t xml:space="preserve"> </w:t>
      </w:r>
    </w:p>
    <w:p w14:paraId="16562055" w14:textId="7EF73FA4" w:rsidR="00507256" w:rsidRDefault="00507256" w:rsidP="00507256">
      <w:pPr>
        <w:pStyle w:val="Heading3"/>
      </w:pPr>
      <w:r>
        <w:t>Electronic Consent</w:t>
      </w:r>
    </w:p>
    <w:p w14:paraId="0068EA60" w14:textId="397F1F32" w:rsidR="004E216C" w:rsidRDefault="004E216C" w:rsidP="00FC1945">
      <w:r>
        <w:t xml:space="preserve">Electronic </w:t>
      </w:r>
      <w:r w:rsidR="00941286">
        <w:t>consent</w:t>
      </w:r>
      <w:r w:rsidR="000D4653">
        <w:t>, as per section 2(1)(b),</w:t>
      </w:r>
      <w:r w:rsidR="00941286">
        <w:t xml:space="preserve"> refers to consent provided by electronic means</w:t>
      </w:r>
      <w:r w:rsidR="005E66D8">
        <w:t>,</w:t>
      </w:r>
      <w:r w:rsidR="00FA3922">
        <w:t xml:space="preserve"> i.e., </w:t>
      </w:r>
      <w:r w:rsidR="00D50FCE">
        <w:t>where the format is digital or in some other intangible form.</w:t>
      </w:r>
      <w:r w:rsidR="005E66D8">
        <w:t xml:space="preserve"> </w:t>
      </w:r>
      <w:r w:rsidR="006B1E44">
        <w:t xml:space="preserve">Refer to section 2(1)(a) for the full definition of “electronic.” </w:t>
      </w:r>
    </w:p>
    <w:p w14:paraId="61AA5552" w14:textId="7657EB89" w:rsidR="00FD4DBC" w:rsidRDefault="008F2DCE" w:rsidP="00D05AF3">
      <w:r>
        <w:t xml:space="preserve">To be valid, electronic consent must comply with all requirements under section 2(4). </w:t>
      </w:r>
    </w:p>
    <w:p w14:paraId="697E48EC" w14:textId="17C012B6" w:rsidR="00F16836" w:rsidRPr="004A7DF6" w:rsidRDefault="00BC044D" w:rsidP="00F16836">
      <w:pPr>
        <w:pStyle w:val="Heading4"/>
      </w:pPr>
      <w:bookmarkStart w:id="3" w:name="_Policy_Requirements"/>
      <w:bookmarkEnd w:id="3"/>
      <w:r>
        <w:t>Policy Requirements</w:t>
      </w:r>
      <w:r w:rsidR="003D5083">
        <w:t xml:space="preserve"> for Electronic Consent</w:t>
      </w:r>
    </w:p>
    <w:p w14:paraId="74A085F9" w14:textId="13C2BCC7" w:rsidR="00BC5BF7" w:rsidRDefault="00C83D43" w:rsidP="00C83D43">
      <w:pPr>
        <w:rPr>
          <w:lang w:val="en-CA"/>
        </w:rPr>
      </w:pPr>
      <w:r>
        <w:rPr>
          <w:lang w:val="en-CA"/>
        </w:rPr>
        <w:t>Public bodies are in the best position to determine</w:t>
      </w:r>
      <w:r w:rsidR="001A7D6C">
        <w:rPr>
          <w:lang w:val="en-CA"/>
        </w:rPr>
        <w:t xml:space="preserve"> when it is appropriate to accept electronic consent, based on their specific business needs</w:t>
      </w:r>
      <w:r w:rsidR="00C84538">
        <w:rPr>
          <w:lang w:val="en-CA"/>
        </w:rPr>
        <w:t xml:space="preserve">, and that </w:t>
      </w:r>
      <w:r w:rsidR="0018335A">
        <w:rPr>
          <w:lang w:val="en-CA"/>
        </w:rPr>
        <w:t>of the p</w:t>
      </w:r>
      <w:r w:rsidR="00735400">
        <w:rPr>
          <w:lang w:val="en-CA"/>
        </w:rPr>
        <w:t>ublic</w:t>
      </w:r>
      <w:r w:rsidR="0018335A">
        <w:rPr>
          <w:lang w:val="en-CA"/>
        </w:rPr>
        <w:t xml:space="preserve"> they serve</w:t>
      </w:r>
      <w:r w:rsidR="001A7D6C">
        <w:rPr>
          <w:lang w:val="en-CA"/>
        </w:rPr>
        <w:t>.</w:t>
      </w:r>
      <w:r w:rsidR="00A64AA7">
        <w:rPr>
          <w:lang w:val="en-CA"/>
        </w:rPr>
        <w:t xml:space="preserve"> </w:t>
      </w:r>
    </w:p>
    <w:p w14:paraId="2E297C2E" w14:textId="37E40035" w:rsidR="00C83D43" w:rsidRPr="00BC044D" w:rsidRDefault="00A64AA7" w:rsidP="00C83D43">
      <w:r>
        <w:rPr>
          <w:lang w:val="en-CA"/>
        </w:rPr>
        <w:t>In accordance with section 2(4)(a), each public body must</w:t>
      </w:r>
      <w:r w:rsidR="00572D62">
        <w:rPr>
          <w:lang w:val="en-CA"/>
        </w:rPr>
        <w:t xml:space="preserve"> establish a formal policy or “rules” – approved by its head – outlining </w:t>
      </w:r>
      <w:r w:rsidR="00C263DA">
        <w:rPr>
          <w:lang w:val="en-CA"/>
        </w:rPr>
        <w:t>the specific purposes for which electronic consent will be accepted. Employees</w:t>
      </w:r>
      <w:r w:rsidR="00531245">
        <w:rPr>
          <w:lang w:val="en-CA"/>
        </w:rPr>
        <w:t xml:space="preserve"> of the public body</w:t>
      </w:r>
      <w:r w:rsidR="00C263DA">
        <w:rPr>
          <w:lang w:val="en-CA"/>
        </w:rPr>
        <w:t xml:space="preserve"> may only seek electronic consent for those approved purposes</w:t>
      </w:r>
      <w:r w:rsidR="00F33E4D">
        <w:rPr>
          <w:lang w:val="en-CA"/>
        </w:rPr>
        <w:t xml:space="preserve"> (section 2(4)(b))</w:t>
      </w:r>
      <w:r w:rsidR="00C263DA">
        <w:rPr>
          <w:lang w:val="en-CA"/>
        </w:rPr>
        <w:t xml:space="preserve">. </w:t>
      </w:r>
    </w:p>
    <w:p w14:paraId="0016B1A1" w14:textId="2645CEBD" w:rsidR="00C263DA" w:rsidRDefault="00DC419B" w:rsidP="00C83D43">
      <w:pPr>
        <w:rPr>
          <w:lang w:val="en-CA"/>
        </w:rPr>
      </w:pPr>
      <w:r>
        <w:rPr>
          <w:lang w:val="en-CA"/>
        </w:rPr>
        <w:lastRenderedPageBreak/>
        <w:t xml:space="preserve">When </w:t>
      </w:r>
      <w:r w:rsidR="008F0850">
        <w:rPr>
          <w:lang w:val="en-CA"/>
        </w:rPr>
        <w:t>developing</w:t>
      </w:r>
      <w:r w:rsidR="002E0171">
        <w:rPr>
          <w:lang w:val="en-CA"/>
        </w:rPr>
        <w:t xml:space="preserve"> </w:t>
      </w:r>
      <w:r w:rsidR="00C263DA">
        <w:rPr>
          <w:lang w:val="en-CA"/>
        </w:rPr>
        <w:t>this</w:t>
      </w:r>
      <w:r w:rsidR="008F0850">
        <w:rPr>
          <w:lang w:val="en-CA"/>
        </w:rPr>
        <w:t xml:space="preserve"> polic</w:t>
      </w:r>
      <w:r w:rsidR="00C263DA">
        <w:rPr>
          <w:lang w:val="en-CA"/>
        </w:rPr>
        <w:t>y</w:t>
      </w:r>
      <w:r w:rsidR="00F33E4D">
        <w:rPr>
          <w:lang w:val="en-CA"/>
        </w:rPr>
        <w:t xml:space="preserve">, </w:t>
      </w:r>
      <w:r w:rsidR="006A6E30">
        <w:rPr>
          <w:lang w:val="en-CA"/>
        </w:rPr>
        <w:t xml:space="preserve">public bodies should examine their programs and services, and consider factors such as: </w:t>
      </w:r>
      <w:r w:rsidR="002E0171">
        <w:rPr>
          <w:lang w:val="en-CA"/>
        </w:rPr>
        <w:t xml:space="preserve"> </w:t>
      </w:r>
    </w:p>
    <w:p w14:paraId="4C119027" w14:textId="77777777" w:rsidR="00C83D43" w:rsidRDefault="00C83D43" w:rsidP="00C83D43">
      <w:pPr>
        <w:pStyle w:val="ListParagraph"/>
        <w:numPr>
          <w:ilvl w:val="0"/>
          <w:numId w:val="17"/>
        </w:numPr>
        <w:rPr>
          <w:lang w:val="en-CA"/>
        </w:rPr>
      </w:pPr>
      <w:r>
        <w:rPr>
          <w:lang w:val="en-CA"/>
        </w:rPr>
        <w:t xml:space="preserve">How is personal information used or disclosed? </w:t>
      </w:r>
    </w:p>
    <w:p w14:paraId="58D3FC03" w14:textId="63C3D8D1" w:rsidR="00C83D43" w:rsidRDefault="00817149" w:rsidP="00C83D43">
      <w:pPr>
        <w:pStyle w:val="ListParagraph"/>
        <w:numPr>
          <w:ilvl w:val="0"/>
          <w:numId w:val="17"/>
        </w:numPr>
        <w:rPr>
          <w:lang w:val="en-CA"/>
        </w:rPr>
      </w:pPr>
      <w:r>
        <w:rPr>
          <w:lang w:val="en-CA"/>
        </w:rPr>
        <w:t xml:space="preserve">Would the personal information be considered of </w:t>
      </w:r>
      <w:proofErr w:type="gramStart"/>
      <w:r>
        <w:rPr>
          <w:lang w:val="en-CA"/>
        </w:rPr>
        <w:t>high-</w:t>
      </w:r>
      <w:r w:rsidR="00E95F8C">
        <w:rPr>
          <w:lang w:val="en-CA"/>
        </w:rPr>
        <w:t>sensitivity</w:t>
      </w:r>
      <w:proofErr w:type="gramEnd"/>
      <w:r>
        <w:rPr>
          <w:lang w:val="en-CA"/>
        </w:rPr>
        <w:t xml:space="preserve"> (i.e. </w:t>
      </w:r>
      <w:r w:rsidR="00E95F8C">
        <w:rPr>
          <w:lang w:val="en-CA"/>
        </w:rPr>
        <w:t>biometric information, financial information or be respecting a minor, senior or vulnerable individual)</w:t>
      </w:r>
      <w:r w:rsidR="00C83D43">
        <w:rPr>
          <w:lang w:val="en-CA"/>
        </w:rPr>
        <w:t xml:space="preserve">? </w:t>
      </w:r>
    </w:p>
    <w:p w14:paraId="5777E2BE" w14:textId="3A39E23C" w:rsidR="00C83D43" w:rsidRDefault="00065EC4" w:rsidP="00C83D43">
      <w:pPr>
        <w:pStyle w:val="ListParagraph"/>
        <w:numPr>
          <w:ilvl w:val="0"/>
          <w:numId w:val="17"/>
        </w:numPr>
        <w:rPr>
          <w:lang w:val="en-CA"/>
        </w:rPr>
      </w:pPr>
      <w:r>
        <w:rPr>
          <w:lang w:val="en-CA"/>
        </w:rPr>
        <w:t>Who</w:t>
      </w:r>
      <w:r w:rsidR="00C83D43">
        <w:rPr>
          <w:lang w:val="en-CA"/>
        </w:rPr>
        <w:t xml:space="preserve"> will the information be disclosed to? </w:t>
      </w:r>
    </w:p>
    <w:p w14:paraId="2D428331" w14:textId="77777777" w:rsidR="00C83D43" w:rsidRDefault="00C83D43" w:rsidP="00C83D43">
      <w:pPr>
        <w:pStyle w:val="ListParagraph"/>
        <w:numPr>
          <w:ilvl w:val="0"/>
          <w:numId w:val="17"/>
        </w:numPr>
        <w:rPr>
          <w:lang w:val="en-CA"/>
        </w:rPr>
      </w:pPr>
      <w:r>
        <w:rPr>
          <w:lang w:val="en-CA"/>
        </w:rPr>
        <w:t xml:space="preserve">What risks are associated with accepting electronic consent in those circumstances? </w:t>
      </w:r>
    </w:p>
    <w:p w14:paraId="6BAFC56A" w14:textId="77777777" w:rsidR="00C83D43" w:rsidRDefault="00C83D43" w:rsidP="00C83D43">
      <w:pPr>
        <w:pStyle w:val="ListParagraph"/>
        <w:numPr>
          <w:ilvl w:val="0"/>
          <w:numId w:val="17"/>
        </w:numPr>
        <w:rPr>
          <w:lang w:val="en-CA"/>
        </w:rPr>
      </w:pPr>
      <w:r>
        <w:rPr>
          <w:lang w:val="en-CA"/>
        </w:rPr>
        <w:t xml:space="preserve">How feasible is it to obtain electronic consent and ensure it meets the requirements in those circumstances? </w:t>
      </w:r>
    </w:p>
    <w:p w14:paraId="5BBA4478" w14:textId="77777777" w:rsidR="008608EB" w:rsidRPr="008608EB" w:rsidRDefault="008608EB" w:rsidP="008608EB">
      <w:pPr>
        <w:rPr>
          <w:lang w:val="en-CA"/>
        </w:rPr>
      </w:pPr>
      <w:r w:rsidRPr="008608EB">
        <w:rPr>
          <w:lang w:val="en-CA"/>
        </w:rPr>
        <w:t xml:space="preserve">Public bodies must also explicitly communicate to the public the specific purposes for which electronic consent will be accepted (section 2(4)(c)). </w:t>
      </w:r>
    </w:p>
    <w:p w14:paraId="7361042E" w14:textId="1F1D00D2" w:rsidR="00BC044D" w:rsidRPr="004A7DF6" w:rsidRDefault="00BC044D" w:rsidP="00BC044D">
      <w:pPr>
        <w:pStyle w:val="Heading4"/>
      </w:pPr>
      <w:r>
        <w:t>Technical Requirements</w:t>
      </w:r>
      <w:r w:rsidR="003D5083">
        <w:t xml:space="preserve"> for Electronic Consent</w:t>
      </w:r>
    </w:p>
    <w:p w14:paraId="43B39D14" w14:textId="67AE8355" w:rsidR="002D1B0E" w:rsidRDefault="00180AB6" w:rsidP="00BC044D">
      <w:r>
        <w:t>As per section 2(</w:t>
      </w:r>
      <w:r w:rsidR="00E023FF">
        <w:t>4)(d), e</w:t>
      </w:r>
      <w:r w:rsidR="00755C2A">
        <w:t>lectronic consent must</w:t>
      </w:r>
      <w:r w:rsidR="002D1B0E">
        <w:t>:</w:t>
      </w:r>
    </w:p>
    <w:p w14:paraId="36DE2B28" w14:textId="692DB476" w:rsidR="002D1B0E" w:rsidRDefault="00241A38" w:rsidP="002D1B0E">
      <w:pPr>
        <w:pStyle w:val="ListParagraph"/>
        <w:numPr>
          <w:ilvl w:val="0"/>
          <w:numId w:val="18"/>
        </w:numPr>
      </w:pPr>
      <w:r>
        <w:t xml:space="preserve">Be accessible </w:t>
      </w:r>
      <w:r w:rsidR="002A1A5B">
        <w:t>to the public body for future reference</w:t>
      </w:r>
      <w:r w:rsidR="000F3CB2">
        <w:t>/use</w:t>
      </w:r>
      <w:r w:rsidR="002A1A5B">
        <w:t xml:space="preserve">, </w:t>
      </w:r>
    </w:p>
    <w:p w14:paraId="7777B5DB" w14:textId="0285EC35" w:rsidR="002A1A5B" w:rsidRDefault="002A1A5B" w:rsidP="002D1B0E">
      <w:pPr>
        <w:pStyle w:val="ListParagraph"/>
        <w:numPr>
          <w:ilvl w:val="0"/>
          <w:numId w:val="18"/>
        </w:numPr>
      </w:pPr>
      <w:r>
        <w:t xml:space="preserve">Be </w:t>
      </w:r>
      <w:r w:rsidR="008D57EE">
        <w:t>capable of being retained</w:t>
      </w:r>
      <w:r w:rsidR="00423DBF">
        <w:t xml:space="preserve"> by the public body</w:t>
      </w:r>
      <w:r w:rsidR="00E94F39">
        <w:t>,</w:t>
      </w:r>
    </w:p>
    <w:p w14:paraId="71684BD6" w14:textId="42A7A12A" w:rsidR="00E94F39" w:rsidRDefault="00E94F39" w:rsidP="002D1B0E">
      <w:pPr>
        <w:pStyle w:val="ListParagraph"/>
        <w:numPr>
          <w:ilvl w:val="0"/>
          <w:numId w:val="18"/>
        </w:numPr>
      </w:pPr>
      <w:r>
        <w:t xml:space="preserve">Be able to be authenticated </w:t>
      </w:r>
      <w:r w:rsidR="005939F0">
        <w:t xml:space="preserve">so the individual giving consent can be identified, </w:t>
      </w:r>
      <w:r w:rsidR="005572F3">
        <w:t>and</w:t>
      </w:r>
    </w:p>
    <w:p w14:paraId="7F31286C" w14:textId="412ADBB0" w:rsidR="005572F3" w:rsidRPr="00BC044D" w:rsidRDefault="005572F3" w:rsidP="002D1B0E">
      <w:pPr>
        <w:pStyle w:val="ListParagraph"/>
        <w:numPr>
          <w:ilvl w:val="0"/>
          <w:numId w:val="18"/>
        </w:numPr>
      </w:pPr>
      <w:r>
        <w:t>Meet the information technology standards, if any, set by the public body</w:t>
      </w:r>
      <w:r w:rsidR="00E023FF">
        <w:t>.</w:t>
      </w:r>
    </w:p>
    <w:p w14:paraId="7A94D819" w14:textId="51618A93" w:rsidR="00DA0108" w:rsidRDefault="00A546AF" w:rsidP="00FC1945">
      <w:r>
        <w:t xml:space="preserve">The </w:t>
      </w:r>
      <w:r w:rsidR="00563BE9">
        <w:t xml:space="preserve">methods by which public bodies must fulfill these </w:t>
      </w:r>
      <w:r w:rsidR="00607564">
        <w:t>requirements</w:t>
      </w:r>
      <w:r w:rsidR="00563BE9">
        <w:t xml:space="preserve"> – such as </w:t>
      </w:r>
      <w:hyperlink w:anchor="_Retention" w:history="1">
        <w:r w:rsidR="00563BE9" w:rsidRPr="00BA6589">
          <w:rPr>
            <w:rStyle w:val="Hyperlink"/>
            <w:color w:val="auto"/>
          </w:rPr>
          <w:t>retention</w:t>
        </w:r>
      </w:hyperlink>
      <w:r w:rsidR="00563BE9" w:rsidRPr="00BA6589">
        <w:t xml:space="preserve">, </w:t>
      </w:r>
      <w:hyperlink w:anchor="_Authentication_Processes" w:history="1">
        <w:r w:rsidR="00563BE9" w:rsidRPr="00BA6589">
          <w:rPr>
            <w:rStyle w:val="Hyperlink"/>
            <w:color w:val="auto"/>
          </w:rPr>
          <w:t>authentication</w:t>
        </w:r>
      </w:hyperlink>
      <w:r w:rsidR="00563BE9">
        <w:t>, or the duration for which electronic</w:t>
      </w:r>
      <w:r w:rsidR="00607564">
        <w:t xml:space="preserve"> consent must remain accessible – are not prescribed</w:t>
      </w:r>
      <w:r w:rsidR="002700E9">
        <w:t xml:space="preserve"> in the regulation</w:t>
      </w:r>
      <w:r w:rsidR="00607564">
        <w:t xml:space="preserve">. These methods may vary depending on the electronic format used, and the business needs of the public </w:t>
      </w:r>
      <w:r w:rsidR="00DA0108">
        <w:t>b</w:t>
      </w:r>
      <w:r w:rsidR="00607564">
        <w:t>ody.</w:t>
      </w:r>
    </w:p>
    <w:p w14:paraId="4AB8C3F4" w14:textId="311DC21F" w:rsidR="00415901" w:rsidRPr="004A7DF6" w:rsidRDefault="00415901" w:rsidP="00D2666C">
      <w:pPr>
        <w:pStyle w:val="Heading5"/>
      </w:pPr>
      <w:r>
        <w:t>Electronic Signature</w:t>
      </w:r>
    </w:p>
    <w:p w14:paraId="29E71B32" w14:textId="38E60830" w:rsidR="0064779C" w:rsidRDefault="00F262DA" w:rsidP="00FC1945">
      <w:r>
        <w:t>E</w:t>
      </w:r>
      <w:r w:rsidR="0064779C">
        <w:t>lectronic consent must include the electronic signature of the individual giving consent</w:t>
      </w:r>
      <w:r w:rsidR="00E67501">
        <w:t xml:space="preserve"> (section 2</w:t>
      </w:r>
      <w:r w:rsidR="00D210C1">
        <w:t>(4)</w:t>
      </w:r>
      <w:r w:rsidR="00E67501">
        <w:t xml:space="preserve">(e)). </w:t>
      </w:r>
    </w:p>
    <w:p w14:paraId="3256D18F" w14:textId="77777777" w:rsidR="00BC4698" w:rsidRDefault="00470D6C" w:rsidP="00FC1945">
      <w:pPr>
        <w:rPr>
          <w:lang w:val="en-CA"/>
        </w:rPr>
      </w:pPr>
      <w:r>
        <w:rPr>
          <w:lang w:val="en-CA"/>
        </w:rPr>
        <w:t xml:space="preserve">Section 2(1)(c) defines electronic signature </w:t>
      </w:r>
      <w:r w:rsidR="00B50FAE">
        <w:rPr>
          <w:lang w:val="en-CA"/>
        </w:rPr>
        <w:t>as</w:t>
      </w:r>
      <w:r w:rsidR="00BC4698">
        <w:rPr>
          <w:lang w:val="en-CA"/>
        </w:rPr>
        <w:t>:</w:t>
      </w:r>
    </w:p>
    <w:p w14:paraId="115C9F81" w14:textId="4A3F36E4" w:rsidR="00470D6C" w:rsidRPr="007D7A62" w:rsidRDefault="007D7A62" w:rsidP="00FC1945">
      <w:pPr>
        <w:rPr>
          <w:i/>
          <w:iCs/>
          <w:lang w:val="en-CA"/>
        </w:rPr>
      </w:pPr>
      <w:r w:rsidRPr="007D7A62">
        <w:rPr>
          <w:i/>
          <w:iCs/>
          <w:lang w:val="en-CA"/>
        </w:rPr>
        <w:t>…</w:t>
      </w:r>
      <w:r w:rsidR="00470D6C" w:rsidRPr="007D7A62">
        <w:rPr>
          <w:i/>
          <w:iCs/>
          <w:lang w:val="en-CA"/>
        </w:rPr>
        <w:t xml:space="preserve">electronic information that an individual creates or adopts </w:t>
      </w:r>
      <w:proofErr w:type="gramStart"/>
      <w:r w:rsidR="00470D6C" w:rsidRPr="007D7A62">
        <w:rPr>
          <w:i/>
          <w:iCs/>
          <w:lang w:val="en-CA"/>
        </w:rPr>
        <w:t>in order to</w:t>
      </w:r>
      <w:proofErr w:type="gramEnd"/>
      <w:r w:rsidR="00470D6C" w:rsidRPr="007D7A62">
        <w:rPr>
          <w:i/>
          <w:iCs/>
          <w:lang w:val="en-CA"/>
        </w:rPr>
        <w:t xml:space="preserve"> sign a record and that is in, attached to or associated with the record.</w:t>
      </w:r>
    </w:p>
    <w:p w14:paraId="34AB340C" w14:textId="6A0CC763" w:rsidR="00627525" w:rsidRDefault="00733D10" w:rsidP="00FC1945">
      <w:pPr>
        <w:rPr>
          <w:lang w:val="en-CA"/>
        </w:rPr>
      </w:pPr>
      <w:r>
        <w:rPr>
          <w:lang w:val="en-CA"/>
        </w:rPr>
        <w:t xml:space="preserve">To be valid, the electronic signature </w:t>
      </w:r>
      <w:r w:rsidR="006F0781">
        <w:rPr>
          <w:lang w:val="en-CA"/>
        </w:rPr>
        <w:t xml:space="preserve">must meet the reliability requirements set out in section 16(2) of the </w:t>
      </w:r>
      <w:r w:rsidR="006F0781" w:rsidRPr="00B45177">
        <w:rPr>
          <w:i/>
          <w:iCs/>
          <w:lang w:val="en-CA"/>
        </w:rPr>
        <w:t>Electronic Transactions Act</w:t>
      </w:r>
      <w:r w:rsidR="00747C74">
        <w:rPr>
          <w:lang w:val="en-CA"/>
        </w:rPr>
        <w:t xml:space="preserve">. </w:t>
      </w:r>
      <w:r w:rsidR="007F35A0">
        <w:rPr>
          <w:lang w:val="en-CA"/>
        </w:rPr>
        <w:t>In essence</w:t>
      </w:r>
      <w:r w:rsidR="00340128">
        <w:rPr>
          <w:lang w:val="en-CA"/>
        </w:rPr>
        <w:t xml:space="preserve">, </w:t>
      </w:r>
    </w:p>
    <w:p w14:paraId="1D9BC565" w14:textId="49089A1B" w:rsidR="00340128" w:rsidRDefault="005C20CC">
      <w:pPr>
        <w:pStyle w:val="ListParagraph"/>
        <w:numPr>
          <w:ilvl w:val="0"/>
          <w:numId w:val="21"/>
        </w:numPr>
        <w:rPr>
          <w:lang w:val="en-CA"/>
        </w:rPr>
      </w:pPr>
      <w:r>
        <w:rPr>
          <w:lang w:val="en-CA"/>
        </w:rPr>
        <w:t>It must r</w:t>
      </w:r>
      <w:r w:rsidR="00340128" w:rsidRPr="00340128">
        <w:rPr>
          <w:lang w:val="en-CA"/>
        </w:rPr>
        <w:t>eliably identify the individual providing consent, and</w:t>
      </w:r>
    </w:p>
    <w:p w14:paraId="3267F1B0" w14:textId="6F4F7C82" w:rsidR="00AE080A" w:rsidRDefault="00FD20CC">
      <w:pPr>
        <w:pStyle w:val="ListParagraph"/>
        <w:numPr>
          <w:ilvl w:val="0"/>
          <w:numId w:val="21"/>
        </w:numPr>
        <w:rPr>
          <w:lang w:val="en-CA"/>
        </w:rPr>
      </w:pPr>
      <w:r>
        <w:rPr>
          <w:lang w:val="en-CA"/>
        </w:rPr>
        <w:t>I</w:t>
      </w:r>
      <w:r w:rsidR="00340128" w:rsidRPr="00340128">
        <w:rPr>
          <w:lang w:val="en-CA"/>
        </w:rPr>
        <w:t xml:space="preserve">ts association with the </w:t>
      </w:r>
      <w:r w:rsidR="00AE080A">
        <w:rPr>
          <w:lang w:val="en-CA"/>
        </w:rPr>
        <w:t>relevant record</w:t>
      </w:r>
      <w:r w:rsidR="00340128" w:rsidRPr="00340128">
        <w:rPr>
          <w:lang w:val="en-CA"/>
        </w:rPr>
        <w:t xml:space="preserve"> </w:t>
      </w:r>
      <w:r w:rsidR="00AE080A">
        <w:rPr>
          <w:lang w:val="en-CA"/>
        </w:rPr>
        <w:t xml:space="preserve">is reliable for the purpose for which the record was created. </w:t>
      </w:r>
    </w:p>
    <w:p w14:paraId="54A66195" w14:textId="15ABFC01" w:rsidR="00517A4F" w:rsidRDefault="00654ECF" w:rsidP="00517A4F">
      <w:pPr>
        <w:rPr>
          <w:lang w:val="en-CA"/>
        </w:rPr>
      </w:pPr>
      <w:r>
        <w:rPr>
          <w:lang w:val="en-CA"/>
        </w:rPr>
        <w:t>The latter overlaps with section 2(4)(g)</w:t>
      </w:r>
      <w:r w:rsidR="000D6F31">
        <w:rPr>
          <w:lang w:val="en-CA"/>
        </w:rPr>
        <w:t xml:space="preserve"> i</w:t>
      </w:r>
      <w:r>
        <w:rPr>
          <w:lang w:val="en-CA"/>
        </w:rPr>
        <w:t>ts association wit</w:t>
      </w:r>
      <w:r w:rsidR="00630172">
        <w:rPr>
          <w:lang w:val="en-CA"/>
        </w:rPr>
        <w:t>h</w:t>
      </w:r>
      <w:r>
        <w:rPr>
          <w:lang w:val="en-CA"/>
        </w:rPr>
        <w:t xml:space="preserve"> the consent must be appropriate for the intended purpose. </w:t>
      </w:r>
    </w:p>
    <w:p w14:paraId="476FAAA3" w14:textId="3CEB1BF3" w:rsidR="00AE091D" w:rsidRDefault="00EC382F" w:rsidP="00517A4F">
      <w:pPr>
        <w:rPr>
          <w:lang w:val="en-CA"/>
        </w:rPr>
      </w:pPr>
      <w:r>
        <w:rPr>
          <w:lang w:val="en-CA"/>
        </w:rPr>
        <w:t xml:space="preserve">Subsection </w:t>
      </w:r>
      <w:r w:rsidR="00AE091D">
        <w:rPr>
          <w:lang w:val="en-CA"/>
        </w:rPr>
        <w:t xml:space="preserve">(g) acknowledges that the level of sophistication required from the electronic signature may vary </w:t>
      </w:r>
      <w:r w:rsidR="00704274">
        <w:rPr>
          <w:lang w:val="en-CA"/>
        </w:rPr>
        <w:t xml:space="preserve">depending on the situation. For example, a signature in an internal email may be </w:t>
      </w:r>
      <w:r w:rsidR="00246B51">
        <w:rPr>
          <w:lang w:val="en-CA"/>
        </w:rPr>
        <w:t>reliable enough for routine purposes, however,</w:t>
      </w:r>
      <w:r w:rsidR="00EC4D4A">
        <w:rPr>
          <w:lang w:val="en-CA"/>
        </w:rPr>
        <w:t xml:space="preserve"> uses or disclosures </w:t>
      </w:r>
      <w:r w:rsidR="00636A9C">
        <w:rPr>
          <w:lang w:val="en-CA"/>
        </w:rPr>
        <w:t>personal information considered to be hig</w:t>
      </w:r>
      <w:r w:rsidR="00C04083">
        <w:rPr>
          <w:lang w:val="en-CA"/>
        </w:rPr>
        <w:t>h</w:t>
      </w:r>
      <w:r w:rsidR="00F33ED4">
        <w:rPr>
          <w:lang w:val="en-CA"/>
        </w:rPr>
        <w:t>-</w:t>
      </w:r>
      <w:r w:rsidR="00EC4D4A">
        <w:rPr>
          <w:lang w:val="en-CA"/>
        </w:rPr>
        <w:t>sensitiv</w:t>
      </w:r>
      <w:r w:rsidR="009D047A">
        <w:rPr>
          <w:lang w:val="en-CA"/>
        </w:rPr>
        <w:t>ity</w:t>
      </w:r>
      <w:r w:rsidR="00EC4D4A">
        <w:rPr>
          <w:lang w:val="en-CA"/>
        </w:rPr>
        <w:t xml:space="preserve"> may require more advanced </w:t>
      </w:r>
      <w:r w:rsidR="00511897">
        <w:rPr>
          <w:lang w:val="en-CA"/>
        </w:rPr>
        <w:t>signatures, such</w:t>
      </w:r>
      <w:r w:rsidR="00203D75">
        <w:rPr>
          <w:lang w:val="en-CA"/>
        </w:rPr>
        <w:t xml:space="preserve"> as</w:t>
      </w:r>
      <w:r w:rsidR="00511897">
        <w:rPr>
          <w:lang w:val="en-CA"/>
        </w:rPr>
        <w:t xml:space="preserve"> in a public key signature system</w:t>
      </w:r>
      <w:r w:rsidR="003F51FA">
        <w:rPr>
          <w:lang w:val="en-CA"/>
        </w:rPr>
        <w:t xml:space="preserve"> - </w:t>
      </w:r>
      <w:r w:rsidR="00B1653B">
        <w:rPr>
          <w:lang w:val="en-CA"/>
        </w:rPr>
        <w:t>a more reliable method</w:t>
      </w:r>
      <w:r w:rsidR="00511897">
        <w:rPr>
          <w:lang w:val="en-CA"/>
        </w:rPr>
        <w:t xml:space="preserve">. </w:t>
      </w:r>
    </w:p>
    <w:p w14:paraId="304A420F" w14:textId="2CA5D83D" w:rsidR="007A015E" w:rsidRPr="00D723B6" w:rsidRDefault="003026A0" w:rsidP="007A015E">
      <w:pPr>
        <w:pStyle w:val="Heading3"/>
      </w:pPr>
      <w:r>
        <w:t>Oral Consent</w:t>
      </w:r>
    </w:p>
    <w:p w14:paraId="1907AF2C" w14:textId="2CFB78D1" w:rsidR="00511897" w:rsidRDefault="003026A0" w:rsidP="004E3CEC">
      <w:r>
        <w:t>Oral consent</w:t>
      </w:r>
      <w:r w:rsidR="005C5F2B">
        <w:t xml:space="preserve"> </w:t>
      </w:r>
      <w:r w:rsidR="00861CE8">
        <w:t xml:space="preserve">refers to consent obtained </w:t>
      </w:r>
      <w:r w:rsidR="000161F1">
        <w:t xml:space="preserve">verbally from the individual giving the consent </w:t>
      </w:r>
      <w:r w:rsidR="004F5535">
        <w:t xml:space="preserve">in person, </w:t>
      </w:r>
      <w:r w:rsidR="000161F1">
        <w:t xml:space="preserve">over the phone, </w:t>
      </w:r>
      <w:r w:rsidR="00C35023">
        <w:t xml:space="preserve">video call or recording, etc. </w:t>
      </w:r>
    </w:p>
    <w:p w14:paraId="64243121" w14:textId="0EF78B63" w:rsidR="004F5535" w:rsidRDefault="004F5535" w:rsidP="004F5535">
      <w:r>
        <w:t xml:space="preserve">To be valid, </w:t>
      </w:r>
      <w:r w:rsidR="00757BF2">
        <w:t>consent that is given orally</w:t>
      </w:r>
      <w:r>
        <w:t xml:space="preserve"> must comply with all requirements under section 2(5), many of which </w:t>
      </w:r>
      <w:r w:rsidR="003639AD">
        <w:t xml:space="preserve">are identical to those for electronic consent. </w:t>
      </w:r>
      <w:r>
        <w:t xml:space="preserve">  </w:t>
      </w:r>
    </w:p>
    <w:p w14:paraId="0553A821" w14:textId="064C7BF9" w:rsidR="00447919" w:rsidRPr="004A7DF6" w:rsidRDefault="00447919" w:rsidP="00447919">
      <w:pPr>
        <w:pStyle w:val="Heading4"/>
      </w:pPr>
      <w:r>
        <w:t>Policy Requirements</w:t>
      </w:r>
      <w:r w:rsidR="003D5083">
        <w:t xml:space="preserve"> for Oral Consent</w:t>
      </w:r>
    </w:p>
    <w:p w14:paraId="54CA7C48" w14:textId="50020593" w:rsidR="00F70EE5" w:rsidRDefault="006C1772" w:rsidP="00447919">
      <w:pPr>
        <w:rPr>
          <w:lang w:val="en-CA"/>
        </w:rPr>
      </w:pPr>
      <w:r>
        <w:rPr>
          <w:lang w:val="en-CA"/>
        </w:rPr>
        <w:t xml:space="preserve">Sections </w:t>
      </w:r>
      <w:r w:rsidR="00E87319">
        <w:rPr>
          <w:lang w:val="en-CA"/>
        </w:rPr>
        <w:t xml:space="preserve">2(5)(a) to (c) </w:t>
      </w:r>
      <w:r w:rsidR="00F70EE5">
        <w:rPr>
          <w:lang w:val="en-CA"/>
        </w:rPr>
        <w:t xml:space="preserve">establish the same requirements for </w:t>
      </w:r>
      <w:r w:rsidR="00757BF2">
        <w:rPr>
          <w:lang w:val="en-CA"/>
        </w:rPr>
        <w:t>consent given orally</w:t>
      </w:r>
      <w:r w:rsidR="00F70EE5">
        <w:rPr>
          <w:lang w:val="en-CA"/>
        </w:rPr>
        <w:t xml:space="preserve"> as sections 2(4)(a) to (c) do for electronic consent. </w:t>
      </w:r>
    </w:p>
    <w:p w14:paraId="0CB4A847" w14:textId="752A06E7" w:rsidR="00F70EE5" w:rsidRDefault="00F70EE5" w:rsidP="00447919">
      <w:pPr>
        <w:rPr>
          <w:lang w:val="en-CA"/>
        </w:rPr>
      </w:pPr>
      <w:r>
        <w:rPr>
          <w:lang w:val="en-CA"/>
        </w:rPr>
        <w:t xml:space="preserve">For example, under section 2(5)(a), each public body must </w:t>
      </w:r>
      <w:r w:rsidR="00517B40">
        <w:rPr>
          <w:lang w:val="en-CA"/>
        </w:rPr>
        <w:t>have</w:t>
      </w:r>
      <w:r>
        <w:rPr>
          <w:lang w:val="en-CA"/>
        </w:rPr>
        <w:t xml:space="preserve"> a formal policy or “rules” – approved by its head – outlining the specific purposes for which oral consent will be accepted</w:t>
      </w:r>
      <w:r w:rsidR="00517B40">
        <w:rPr>
          <w:lang w:val="en-CA"/>
        </w:rPr>
        <w:t xml:space="preserve">. Refer to the </w:t>
      </w:r>
      <w:hyperlink w:anchor="_Policy_Requirements" w:history="1">
        <w:r w:rsidR="008C2365" w:rsidRPr="00BA6589">
          <w:rPr>
            <w:rStyle w:val="Hyperlink"/>
            <w:color w:val="auto"/>
            <w:lang w:val="en-CA"/>
          </w:rPr>
          <w:t>Policy Requirements</w:t>
        </w:r>
      </w:hyperlink>
      <w:r w:rsidR="00BA6589" w:rsidRPr="00BA6589">
        <w:rPr>
          <w:u w:val="single"/>
        </w:rPr>
        <w:t xml:space="preserve"> for Electronic Consent</w:t>
      </w:r>
      <w:r w:rsidR="008C2365" w:rsidRPr="00BA6589">
        <w:rPr>
          <w:u w:val="single"/>
          <w:lang w:val="en-CA"/>
        </w:rPr>
        <w:t xml:space="preserve"> </w:t>
      </w:r>
      <w:r w:rsidR="008C2365">
        <w:rPr>
          <w:lang w:val="en-CA"/>
        </w:rPr>
        <w:t xml:space="preserve">section for guidance, substituting </w:t>
      </w:r>
      <w:r w:rsidR="0043199B">
        <w:rPr>
          <w:lang w:val="en-CA"/>
        </w:rPr>
        <w:t xml:space="preserve">oral consent </w:t>
      </w:r>
      <w:r w:rsidR="008C2365">
        <w:rPr>
          <w:lang w:val="en-CA"/>
        </w:rPr>
        <w:t xml:space="preserve">where applicable. </w:t>
      </w:r>
    </w:p>
    <w:p w14:paraId="184C63C9" w14:textId="404AED51" w:rsidR="002F007C" w:rsidRPr="004A7DF6" w:rsidRDefault="002F007C" w:rsidP="002F007C">
      <w:pPr>
        <w:pStyle w:val="Heading4"/>
      </w:pPr>
      <w:bookmarkStart w:id="4" w:name="_Technical_Requirements"/>
      <w:bookmarkEnd w:id="4"/>
      <w:r>
        <w:t>Technical Requirements</w:t>
      </w:r>
      <w:r w:rsidR="003D5083">
        <w:t xml:space="preserve"> for </w:t>
      </w:r>
      <w:r w:rsidR="006A11CB">
        <w:t xml:space="preserve">Oral </w:t>
      </w:r>
      <w:r w:rsidR="003D5083">
        <w:t>Consent</w:t>
      </w:r>
    </w:p>
    <w:p w14:paraId="599F425A" w14:textId="77777777" w:rsidR="000F3CB2" w:rsidRDefault="00744424" w:rsidP="00447919">
      <w:pPr>
        <w:rPr>
          <w:lang w:val="en-CA"/>
        </w:rPr>
      </w:pPr>
      <w:r>
        <w:rPr>
          <w:lang w:val="en-CA"/>
        </w:rPr>
        <w:t>As per section 2(5)(d</w:t>
      </w:r>
      <w:r w:rsidR="00652ABA">
        <w:rPr>
          <w:lang w:val="en-CA"/>
        </w:rPr>
        <w:t xml:space="preserve">), </w:t>
      </w:r>
      <w:r w:rsidR="000F3CB2">
        <w:rPr>
          <w:lang w:val="en-CA"/>
        </w:rPr>
        <w:t>the record of the consent must:</w:t>
      </w:r>
    </w:p>
    <w:p w14:paraId="32FF4E50" w14:textId="2BE39C0F" w:rsidR="000F3CB2" w:rsidRDefault="000F3CB2" w:rsidP="000F3CB2">
      <w:pPr>
        <w:pStyle w:val="ListParagraph"/>
        <w:numPr>
          <w:ilvl w:val="0"/>
          <w:numId w:val="18"/>
        </w:numPr>
      </w:pPr>
      <w:r>
        <w:t xml:space="preserve">Be accessible to the public body for future reference/use, </w:t>
      </w:r>
      <w:r w:rsidR="007615B6">
        <w:t>and</w:t>
      </w:r>
    </w:p>
    <w:p w14:paraId="3DE2C04E" w14:textId="0EA79687" w:rsidR="007615B6" w:rsidRDefault="007615B6" w:rsidP="007615B6">
      <w:pPr>
        <w:pStyle w:val="ListParagraph"/>
        <w:numPr>
          <w:ilvl w:val="0"/>
          <w:numId w:val="18"/>
        </w:numPr>
      </w:pPr>
      <w:r>
        <w:t>Be capable of being retained by the public body.</w:t>
      </w:r>
    </w:p>
    <w:p w14:paraId="4BC7606B" w14:textId="36752306" w:rsidR="000F3CB2" w:rsidRDefault="0046706A" w:rsidP="007615B6">
      <w:r>
        <w:t>T</w:t>
      </w:r>
      <w:r w:rsidR="007615B6">
        <w:t xml:space="preserve">he methods by which public bodies must fulfill these requirements </w:t>
      </w:r>
      <w:r w:rsidR="0001064D">
        <w:t>are not prescribed in the regulation. These methods may vary depending on the</w:t>
      </w:r>
      <w:r w:rsidR="00BF686D">
        <w:t xml:space="preserve"> </w:t>
      </w:r>
      <w:r w:rsidR="0001064D">
        <w:t>format used</w:t>
      </w:r>
      <w:r w:rsidR="00BF686D">
        <w:t xml:space="preserve"> to record the consent</w:t>
      </w:r>
      <w:r w:rsidR="0001064D">
        <w:t>, and the business needs of the public body.</w:t>
      </w:r>
    </w:p>
    <w:p w14:paraId="08CAA397" w14:textId="001B40C9" w:rsidR="00F70EE5" w:rsidRDefault="00F40DD8" w:rsidP="00447919">
      <w:r>
        <w:t>The</w:t>
      </w:r>
      <w:r w:rsidR="00C443B8">
        <w:t xml:space="preserve"> public body must authenticate the identity of the individual giving consen</w:t>
      </w:r>
      <w:r w:rsidR="00B41A3C">
        <w:t xml:space="preserve">t (section </w:t>
      </w:r>
      <w:r w:rsidR="00D549EA">
        <w:t xml:space="preserve">2(5)(e)). </w:t>
      </w:r>
      <w:r w:rsidR="00440C96">
        <w:t xml:space="preserve">Regardless of the </w:t>
      </w:r>
      <w:r w:rsidR="0028527A">
        <w:t xml:space="preserve">authentication </w:t>
      </w:r>
      <w:r w:rsidR="00440C96">
        <w:t xml:space="preserve">method used, </w:t>
      </w:r>
      <w:r w:rsidR="0028527A">
        <w:t xml:space="preserve">it </w:t>
      </w:r>
      <w:r w:rsidR="00D549EA">
        <w:t>must be reliable for verifying the identity of</w:t>
      </w:r>
      <w:r w:rsidR="000E7129">
        <w:t xml:space="preserve"> the individual, and for associating the consent with the individual</w:t>
      </w:r>
      <w:r w:rsidR="00402F42">
        <w:t xml:space="preserve"> (section 2(5)(f)). </w:t>
      </w:r>
    </w:p>
    <w:p w14:paraId="3F5B1CB6" w14:textId="368DB551" w:rsidR="00D24759" w:rsidRDefault="00B80660" w:rsidP="00B80660">
      <w:pPr>
        <w:rPr>
          <w:lang w:val="en-CA"/>
        </w:rPr>
      </w:pPr>
      <w:r w:rsidRPr="00B80660">
        <w:rPr>
          <w:lang w:val="en-CA"/>
        </w:rPr>
        <w:lastRenderedPageBreak/>
        <w:t>The reliability of the authentication</w:t>
      </w:r>
      <w:r w:rsidR="005B3211">
        <w:rPr>
          <w:lang w:val="en-CA"/>
        </w:rPr>
        <w:t xml:space="preserve"> </w:t>
      </w:r>
      <w:r w:rsidR="005B3211" w:rsidRPr="00B80660">
        <w:rPr>
          <w:lang w:val="en-CA"/>
        </w:rPr>
        <w:t>method</w:t>
      </w:r>
      <w:r w:rsidRPr="00B80660">
        <w:rPr>
          <w:lang w:val="en-CA"/>
        </w:rPr>
        <w:t xml:space="preserve"> for verifying the identity of the individual giving oral consent and for associating or linking the individual with the consent will depend on the purpose for which the consent is being given. </w:t>
      </w:r>
      <w:proofErr w:type="gramStart"/>
      <w:r w:rsidRPr="00B80660">
        <w:rPr>
          <w:lang w:val="en-CA"/>
        </w:rPr>
        <w:t>A higher degree of</w:t>
      </w:r>
      <w:proofErr w:type="gramEnd"/>
      <w:r w:rsidRPr="00B80660">
        <w:rPr>
          <w:lang w:val="en-CA"/>
        </w:rPr>
        <w:t xml:space="preserve"> reliability would be required for consent to the use or disclosure of </w:t>
      </w:r>
      <w:r w:rsidR="00AC69D1">
        <w:rPr>
          <w:lang w:val="en-CA"/>
        </w:rPr>
        <w:t>personal information considered of</w:t>
      </w:r>
      <w:r w:rsidR="000024EB">
        <w:rPr>
          <w:lang w:val="en-CA"/>
        </w:rPr>
        <w:t xml:space="preserve"> </w:t>
      </w:r>
      <w:r w:rsidR="00AC69D1">
        <w:rPr>
          <w:lang w:val="en-CA"/>
        </w:rPr>
        <w:t>high</w:t>
      </w:r>
      <w:r w:rsidR="00AC69D1" w:rsidRPr="00B80660">
        <w:rPr>
          <w:lang w:val="en-CA"/>
        </w:rPr>
        <w:t xml:space="preserve"> </w:t>
      </w:r>
      <w:r w:rsidRPr="00B80660">
        <w:rPr>
          <w:lang w:val="en-CA"/>
        </w:rPr>
        <w:t>sensiti</w:t>
      </w:r>
      <w:r w:rsidR="00AC69D1">
        <w:rPr>
          <w:lang w:val="en-CA"/>
        </w:rPr>
        <w:t>vity</w:t>
      </w:r>
      <w:r w:rsidRPr="00B80660">
        <w:rPr>
          <w:lang w:val="en-CA"/>
        </w:rPr>
        <w:t>.</w:t>
      </w:r>
    </w:p>
    <w:p w14:paraId="107FFE09" w14:textId="2176F7DE" w:rsidR="00933BE7" w:rsidRDefault="00933BE7" w:rsidP="00B80660">
      <w:pPr>
        <w:rPr>
          <w:lang w:val="en-CA"/>
        </w:rPr>
      </w:pPr>
      <w:r w:rsidRPr="00933BE7">
        <w:rPr>
          <w:lang w:val="en-CA"/>
        </w:rPr>
        <w:t xml:space="preserve">It is not sufficient to authenticate identity but have </w:t>
      </w:r>
      <w:r>
        <w:rPr>
          <w:lang w:val="en-CA"/>
        </w:rPr>
        <w:t xml:space="preserve">no means </w:t>
      </w:r>
      <w:r w:rsidRPr="00933BE7">
        <w:rPr>
          <w:lang w:val="en-CA"/>
        </w:rPr>
        <w:t>to link the individual with the information of what they consented to.</w:t>
      </w:r>
    </w:p>
    <w:p w14:paraId="21F8901D" w14:textId="30911352" w:rsidR="00EB287A" w:rsidRDefault="00EB287A" w:rsidP="00B80660">
      <w:pPr>
        <w:rPr>
          <w:lang w:val="en-CA"/>
        </w:rPr>
      </w:pPr>
      <w:r>
        <w:t xml:space="preserve">Refer to the </w:t>
      </w:r>
      <w:hyperlink w:anchor="_Authentication_Processes" w:history="1">
        <w:r w:rsidRPr="00BA6589">
          <w:rPr>
            <w:rStyle w:val="Hyperlink"/>
            <w:color w:val="auto"/>
          </w:rPr>
          <w:t>Authentication Processes</w:t>
        </w:r>
      </w:hyperlink>
      <w:r>
        <w:t xml:space="preserve"> section below for more information.</w:t>
      </w:r>
    </w:p>
    <w:p w14:paraId="49E20D6A" w14:textId="10F1B6A3" w:rsidR="00BB1FFC" w:rsidRPr="004A7DF6" w:rsidRDefault="00BB1FFC" w:rsidP="00BB1FFC">
      <w:pPr>
        <w:pStyle w:val="Heading4"/>
      </w:pPr>
      <w:r>
        <w:t>Acceptable Methods for Recording Consent</w:t>
      </w:r>
    </w:p>
    <w:p w14:paraId="7B3A1000" w14:textId="77777777" w:rsidR="00C676C8" w:rsidRDefault="00BB1FFC" w:rsidP="00B80660">
      <w:r>
        <w:t>Section 2(6) specifies the acceptable methods for recording oral consent</w:t>
      </w:r>
      <w:r w:rsidR="00C676C8">
        <w:t>:</w:t>
      </w:r>
    </w:p>
    <w:p w14:paraId="48A4FFA3" w14:textId="265603E2" w:rsidR="00C676C8" w:rsidRPr="00E36674" w:rsidRDefault="00C676C8" w:rsidP="00E36674">
      <w:pPr>
        <w:pStyle w:val="ListParagraph"/>
        <w:numPr>
          <w:ilvl w:val="0"/>
          <w:numId w:val="24"/>
        </w:numPr>
        <w:rPr>
          <w:i/>
          <w:iCs/>
        </w:rPr>
      </w:pPr>
      <w:r w:rsidRPr="00E36674">
        <w:rPr>
          <w:i/>
          <w:iCs/>
        </w:rPr>
        <w:t xml:space="preserve">An audio recording of the consent </w:t>
      </w:r>
      <w:r w:rsidR="00161F54" w:rsidRPr="00E36674">
        <w:rPr>
          <w:i/>
          <w:iCs/>
        </w:rPr>
        <w:t xml:space="preserve">created by or on behalf of the public body, </w:t>
      </w:r>
    </w:p>
    <w:p w14:paraId="1A4783E4" w14:textId="3C349123" w:rsidR="00161F54" w:rsidRPr="00E36674" w:rsidRDefault="00161F54" w:rsidP="00C676C8">
      <w:pPr>
        <w:pStyle w:val="ListParagraph"/>
        <w:numPr>
          <w:ilvl w:val="0"/>
          <w:numId w:val="24"/>
        </w:numPr>
        <w:rPr>
          <w:i/>
          <w:iCs/>
        </w:rPr>
      </w:pPr>
      <w:r w:rsidRPr="00E36674">
        <w:rPr>
          <w:i/>
          <w:iCs/>
        </w:rPr>
        <w:t xml:space="preserve">In the form of documentation of the consent created by an independent third party, or </w:t>
      </w:r>
    </w:p>
    <w:p w14:paraId="609B0CA8" w14:textId="6928FA12" w:rsidR="00161F54" w:rsidRPr="00E36674" w:rsidRDefault="00161F54" w:rsidP="00C676C8">
      <w:pPr>
        <w:pStyle w:val="ListParagraph"/>
        <w:numPr>
          <w:ilvl w:val="0"/>
          <w:numId w:val="24"/>
        </w:numPr>
        <w:rPr>
          <w:i/>
          <w:iCs/>
        </w:rPr>
      </w:pPr>
      <w:r w:rsidRPr="00E36674">
        <w:rPr>
          <w:i/>
          <w:iCs/>
        </w:rPr>
        <w:t>In the form of documenta</w:t>
      </w:r>
      <w:r w:rsidR="00A166AA" w:rsidRPr="00E36674">
        <w:rPr>
          <w:i/>
          <w:iCs/>
        </w:rPr>
        <w:t>tion of the consent created by the public body in accordance with the rules established by the head of the public body</w:t>
      </w:r>
      <w:r w:rsidR="00660C81" w:rsidRPr="00E36674">
        <w:rPr>
          <w:i/>
          <w:iCs/>
        </w:rPr>
        <w:t>.</w:t>
      </w:r>
    </w:p>
    <w:p w14:paraId="63BE9EBB" w14:textId="00775F6A" w:rsidR="003D6284" w:rsidRDefault="00D411C1" w:rsidP="00B80660">
      <w:pPr>
        <w:rPr>
          <w:lang w:val="en-CA"/>
        </w:rPr>
      </w:pPr>
      <w:r>
        <w:t>S</w:t>
      </w:r>
      <w:r w:rsidR="00287659">
        <w:t>ubsection</w:t>
      </w:r>
      <w:r w:rsidR="008C6A7B">
        <w:t>s</w:t>
      </w:r>
      <w:r w:rsidR="00287659">
        <w:t xml:space="preserve"> (b)</w:t>
      </w:r>
      <w:r w:rsidR="008C6A7B">
        <w:t xml:space="preserve"> and (c)</w:t>
      </w:r>
      <w:r w:rsidR="008D65C3">
        <w:t xml:space="preserve"> grant public bodies greater flexibility </w:t>
      </w:r>
      <w:r w:rsidR="003D6284">
        <w:t>to determin</w:t>
      </w:r>
      <w:r>
        <w:t xml:space="preserve">e </w:t>
      </w:r>
      <w:r w:rsidR="00483777">
        <w:t>what manner of documentation is appropriate for their business need</w:t>
      </w:r>
      <w:r w:rsidR="0009373E">
        <w:t xml:space="preserve">s. However, for subsection (c), </w:t>
      </w:r>
      <w:r w:rsidR="003D6284">
        <w:rPr>
          <w:lang w:val="en-CA"/>
        </w:rPr>
        <w:t>employees may only document any consent given orally in accordance with</w:t>
      </w:r>
      <w:r w:rsidR="008A56C8">
        <w:rPr>
          <w:lang w:val="en-CA"/>
        </w:rPr>
        <w:t xml:space="preserve"> the methods and rules approved by the head of their public body. </w:t>
      </w:r>
    </w:p>
    <w:p w14:paraId="60DBAECB" w14:textId="0ED6CB7E" w:rsidR="00C676C8" w:rsidRPr="00C449F4" w:rsidRDefault="007347EB" w:rsidP="00B80660">
      <w:pPr>
        <w:rPr>
          <w:lang w:val="en-CA"/>
        </w:rPr>
      </w:pPr>
      <w:r>
        <w:rPr>
          <w:lang w:val="en-CA"/>
        </w:rPr>
        <w:t>Public bodies who cho</w:t>
      </w:r>
      <w:r w:rsidR="00B171DE">
        <w:rPr>
          <w:lang w:val="en-CA"/>
        </w:rPr>
        <w:t>o</w:t>
      </w:r>
      <w:r>
        <w:rPr>
          <w:lang w:val="en-CA"/>
        </w:rPr>
        <w:t xml:space="preserve">se to use subsection (c) </w:t>
      </w:r>
      <w:r w:rsidR="00C4616B">
        <w:rPr>
          <w:lang w:val="en-CA"/>
        </w:rPr>
        <w:t xml:space="preserve">should establish a process to ensure the documentation </w:t>
      </w:r>
      <w:r w:rsidR="00C449F4">
        <w:rPr>
          <w:lang w:val="en-CA"/>
        </w:rPr>
        <w:t xml:space="preserve">is being done in compliance with the established </w:t>
      </w:r>
      <w:r w:rsidR="001628E7">
        <w:rPr>
          <w:lang w:val="en-CA"/>
        </w:rPr>
        <w:t>policy/</w:t>
      </w:r>
      <w:r w:rsidR="00C449F4">
        <w:rPr>
          <w:lang w:val="en-CA"/>
        </w:rPr>
        <w:t xml:space="preserve">rules, and the regulation. </w:t>
      </w:r>
    </w:p>
    <w:p w14:paraId="41DDD895" w14:textId="2B47141F" w:rsidR="00187411" w:rsidRDefault="0034421A" w:rsidP="00B80660">
      <w:r>
        <w:t xml:space="preserve">The public body should choose the method of recording that is appropriate for the purpose for which the consent is being given, the nature of the information involved, and </w:t>
      </w:r>
      <w:r w:rsidR="00955DF1">
        <w:t xml:space="preserve">its </w:t>
      </w:r>
      <w:r>
        <w:t xml:space="preserve">business needs. </w:t>
      </w:r>
      <w:r w:rsidR="006D0B06">
        <w:t xml:space="preserve">In all cases, the public body must </w:t>
      </w:r>
      <w:r w:rsidR="00B00B94">
        <w:t>have access to</w:t>
      </w:r>
      <w:r w:rsidR="00B32173">
        <w:t xml:space="preserve">, and control of </w:t>
      </w:r>
      <w:r w:rsidR="00B00B94">
        <w:t>the record</w:t>
      </w:r>
      <w:r w:rsidR="00B32173">
        <w:t>.</w:t>
      </w:r>
      <w:r w:rsidR="00B00B94">
        <w:t xml:space="preserve"> </w:t>
      </w:r>
    </w:p>
    <w:p w14:paraId="08F14040" w14:textId="065B58E8" w:rsidR="00271EF7" w:rsidRPr="00D723B6" w:rsidRDefault="00271EF7" w:rsidP="00271EF7">
      <w:pPr>
        <w:pStyle w:val="Heading3"/>
      </w:pPr>
      <w:r>
        <w:t>Consent of a Minor</w:t>
      </w:r>
    </w:p>
    <w:p w14:paraId="143187EF" w14:textId="0626FDD7" w:rsidR="009337A3" w:rsidRDefault="00D94A97" w:rsidP="00B80660">
      <w:r>
        <w:t xml:space="preserve">In accordance with </w:t>
      </w:r>
      <w:r w:rsidR="009E6231">
        <w:t xml:space="preserve">section 2(7), </w:t>
      </w:r>
      <w:r w:rsidR="00D3089E">
        <w:t>a minor’s</w:t>
      </w:r>
      <w:r w:rsidR="009E6231">
        <w:t xml:space="preserve"> consent is </w:t>
      </w:r>
      <w:r w:rsidR="00D3089E">
        <w:t xml:space="preserve">only valid if </w:t>
      </w:r>
      <w:r w:rsidR="00E772B4">
        <w:t xml:space="preserve">all </w:t>
      </w:r>
      <w:r w:rsidR="00176A32">
        <w:t xml:space="preserve">applicable requirements under section 2 are met, and </w:t>
      </w:r>
      <w:r w:rsidR="009E6231">
        <w:t>the public body has</w:t>
      </w:r>
      <w:r w:rsidR="000A692B">
        <w:t xml:space="preserve"> reasonable grounds to determine that the minor:</w:t>
      </w:r>
    </w:p>
    <w:p w14:paraId="5741A323" w14:textId="5ED34D96" w:rsidR="007D379D" w:rsidRDefault="009337A3" w:rsidP="009337A3">
      <w:pPr>
        <w:pStyle w:val="ListParagraph"/>
        <w:numPr>
          <w:ilvl w:val="0"/>
          <w:numId w:val="25"/>
        </w:numPr>
      </w:pPr>
      <w:r>
        <w:t>H</w:t>
      </w:r>
      <w:r w:rsidR="00AC0639">
        <w:t xml:space="preserve">as the capacity to understand the information relevant to providing consent </w:t>
      </w:r>
      <w:r w:rsidR="00B067D4">
        <w:t>(refer to</w:t>
      </w:r>
      <w:r w:rsidR="0051596A">
        <w:t xml:space="preserve"> </w:t>
      </w:r>
      <w:hyperlink w:anchor="_Common_Standards" w:history="1">
        <w:r w:rsidR="00911008" w:rsidRPr="00BA6589">
          <w:rPr>
            <w:rStyle w:val="Hyperlink"/>
            <w:color w:val="auto"/>
          </w:rPr>
          <w:t>C</w:t>
        </w:r>
        <w:r w:rsidR="000A692B" w:rsidRPr="00BA6589">
          <w:rPr>
            <w:rStyle w:val="Hyperlink"/>
            <w:color w:val="auto"/>
          </w:rPr>
          <w:t xml:space="preserve">ommon </w:t>
        </w:r>
        <w:r w:rsidR="00911008" w:rsidRPr="00BA6589">
          <w:rPr>
            <w:rStyle w:val="Hyperlink"/>
            <w:color w:val="auto"/>
          </w:rPr>
          <w:t>S</w:t>
        </w:r>
        <w:r w:rsidR="000A692B" w:rsidRPr="00BA6589">
          <w:rPr>
            <w:rStyle w:val="Hyperlink"/>
            <w:color w:val="auto"/>
          </w:rPr>
          <w:t>tandards</w:t>
        </w:r>
      </w:hyperlink>
      <w:r w:rsidR="00BA6589">
        <w:t xml:space="preserve"> section</w:t>
      </w:r>
      <w:r w:rsidR="00CB553D">
        <w:t>)</w:t>
      </w:r>
      <w:r w:rsidR="0051596A">
        <w:t>, and</w:t>
      </w:r>
    </w:p>
    <w:p w14:paraId="4D732488" w14:textId="249BE07F" w:rsidR="009337A3" w:rsidRDefault="00502E8D" w:rsidP="009337A3">
      <w:pPr>
        <w:pStyle w:val="ListParagraph"/>
        <w:numPr>
          <w:ilvl w:val="0"/>
          <w:numId w:val="25"/>
        </w:numPr>
      </w:pPr>
      <w:r>
        <w:t xml:space="preserve">Understands the consequences of providing </w:t>
      </w:r>
      <w:r w:rsidR="000A692B">
        <w:t xml:space="preserve">that </w:t>
      </w:r>
      <w:r>
        <w:t xml:space="preserve">consent. </w:t>
      </w:r>
    </w:p>
    <w:p w14:paraId="517A73BD" w14:textId="77777777" w:rsidR="00A36B3A" w:rsidRDefault="00A36B3A" w:rsidP="00A36B3A">
      <w:r>
        <w:t xml:space="preserve">When making this determination, the public body may consider factors such as: </w:t>
      </w:r>
    </w:p>
    <w:p w14:paraId="61B701E2" w14:textId="77777777" w:rsidR="00A36B3A" w:rsidRDefault="00A36B3A" w:rsidP="00A36B3A">
      <w:pPr>
        <w:pStyle w:val="ListParagraph"/>
        <w:numPr>
          <w:ilvl w:val="0"/>
          <w:numId w:val="28"/>
        </w:numPr>
      </w:pPr>
      <w:r>
        <w:t xml:space="preserve">The minor’s age and maturity level, </w:t>
      </w:r>
    </w:p>
    <w:p w14:paraId="44D02E57" w14:textId="77777777" w:rsidR="00A36B3A" w:rsidRDefault="00A36B3A" w:rsidP="00A36B3A">
      <w:pPr>
        <w:pStyle w:val="ListParagraph"/>
        <w:numPr>
          <w:ilvl w:val="0"/>
          <w:numId w:val="28"/>
        </w:numPr>
      </w:pPr>
      <w:r>
        <w:t xml:space="preserve">Potential language barriers, speech impairments or cultural differences, </w:t>
      </w:r>
    </w:p>
    <w:p w14:paraId="4C397CB7" w14:textId="153539F8" w:rsidR="00B73116" w:rsidRDefault="00B73116" w:rsidP="00A36B3A">
      <w:pPr>
        <w:pStyle w:val="ListParagraph"/>
        <w:numPr>
          <w:ilvl w:val="0"/>
          <w:numId w:val="28"/>
        </w:numPr>
      </w:pPr>
      <w:r>
        <w:t>Economic status/living arrangements (</w:t>
      </w:r>
      <w:r w:rsidR="00863681">
        <w:t>e.g</w:t>
      </w:r>
      <w:r w:rsidR="002B7CA5">
        <w:t>., self-supporting or not)</w:t>
      </w:r>
      <w:r w:rsidR="00C3571C">
        <w:t>,</w:t>
      </w:r>
      <w:r w:rsidR="002B7CA5">
        <w:t xml:space="preserve"> </w:t>
      </w:r>
    </w:p>
    <w:p w14:paraId="018EA763" w14:textId="77777777" w:rsidR="00A36B3A" w:rsidRDefault="00A36B3A" w:rsidP="00A36B3A">
      <w:pPr>
        <w:pStyle w:val="ListParagraph"/>
        <w:numPr>
          <w:ilvl w:val="0"/>
          <w:numId w:val="28"/>
        </w:numPr>
      </w:pPr>
      <w:r>
        <w:t xml:space="preserve">The sensitivity of the personal information in question, </w:t>
      </w:r>
    </w:p>
    <w:p w14:paraId="58B82408" w14:textId="5BB0C847" w:rsidR="00A36B3A" w:rsidRDefault="00A36B3A" w:rsidP="00A36B3A">
      <w:pPr>
        <w:pStyle w:val="ListParagraph"/>
        <w:numPr>
          <w:ilvl w:val="0"/>
          <w:numId w:val="28"/>
        </w:numPr>
      </w:pPr>
      <w:r>
        <w:t>The context for the use and/or disclosure</w:t>
      </w:r>
      <w:r w:rsidR="004D7D9B">
        <w:t xml:space="preserve"> (e.g., level of impact to the minor</w:t>
      </w:r>
      <w:r>
        <w:t>,</w:t>
      </w:r>
      <w:r w:rsidR="006C68DE">
        <w:t xml:space="preserve"> the purpose,</w:t>
      </w:r>
      <w:r w:rsidR="00836DC2">
        <w:t xml:space="preserve"> etc.),</w:t>
      </w:r>
      <w:r>
        <w:t xml:space="preserve"> and</w:t>
      </w:r>
    </w:p>
    <w:p w14:paraId="2B4B210C" w14:textId="3B005B38" w:rsidR="00A36B3A" w:rsidRDefault="00A36B3A" w:rsidP="00A36B3A">
      <w:pPr>
        <w:pStyle w:val="ListParagraph"/>
        <w:numPr>
          <w:ilvl w:val="0"/>
          <w:numId w:val="28"/>
        </w:numPr>
      </w:pPr>
      <w:r>
        <w:t xml:space="preserve">Whether the minor can effectively communicate their understanding. </w:t>
      </w:r>
    </w:p>
    <w:p w14:paraId="7C3F9C00" w14:textId="5FD46398" w:rsidR="00A36B3A" w:rsidRDefault="00A36B3A" w:rsidP="00A36B3A">
      <w:r>
        <w:t xml:space="preserve">Minors should be provided with all the information needed to understand the context and purpose for which their consent is being requested, in an age-appropriate manner, and the implications of giving, withdrawing or withholding their consent. </w:t>
      </w:r>
    </w:p>
    <w:p w14:paraId="16F1462A" w14:textId="6EC7463F" w:rsidR="006D6059" w:rsidRPr="004A7DF6" w:rsidRDefault="006D6059" w:rsidP="006D6059">
      <w:pPr>
        <w:pStyle w:val="Heading4"/>
      </w:pPr>
      <w:r>
        <w:t>Exerc</w:t>
      </w:r>
      <w:r w:rsidR="00381486">
        <w:t>ise of Rights by a Guardian</w:t>
      </w:r>
    </w:p>
    <w:p w14:paraId="08E1FC8C" w14:textId="4B59082E" w:rsidR="0099748B" w:rsidRDefault="004A5959" w:rsidP="00AF26F7">
      <w:r>
        <w:t>Under</w:t>
      </w:r>
      <w:r w:rsidR="00AF26F7">
        <w:t xml:space="preserve"> section 54(1)(e) of POPA</w:t>
      </w:r>
      <w:r>
        <w:t>, a guardian</w:t>
      </w:r>
      <w:r w:rsidR="00D24B98">
        <w:t xml:space="preserve"> may</w:t>
      </w:r>
      <w:r w:rsidR="00AF26F7">
        <w:t xml:space="preserve"> exercise </w:t>
      </w:r>
      <w:r w:rsidR="00D24B98">
        <w:t>a</w:t>
      </w:r>
      <w:r w:rsidR="00AF26F7">
        <w:t xml:space="preserve"> minor’s rights and powers, in circumstances where the head of the public body</w:t>
      </w:r>
      <w:r w:rsidR="00AE14B5">
        <w:t xml:space="preserve"> determines</w:t>
      </w:r>
      <w:r w:rsidR="001C1D6F">
        <w:t xml:space="preserve"> that</w:t>
      </w:r>
      <w:r w:rsidR="00AF26F7">
        <w:t xml:space="preserve"> </w:t>
      </w:r>
      <w:r w:rsidR="0099748B">
        <w:t>doing so would not be an unreasonable invasion of the personal privacy of the minor.</w:t>
      </w:r>
      <w:r w:rsidR="00286135">
        <w:t xml:space="preserve"> This includes </w:t>
      </w:r>
      <w:r w:rsidR="006E0CB3">
        <w:t>the ability to provide consent.</w:t>
      </w:r>
      <w:r w:rsidR="0099748B">
        <w:t xml:space="preserve"> </w:t>
      </w:r>
    </w:p>
    <w:p w14:paraId="5800FD77" w14:textId="18043D53" w:rsidR="009A1D45" w:rsidRDefault="006E0CB3" w:rsidP="00C62C07">
      <w:r>
        <w:t>However, w</w:t>
      </w:r>
      <w:r w:rsidR="00B0378C">
        <w:t>he</w:t>
      </w:r>
      <w:r w:rsidR="009A1D45">
        <w:t xml:space="preserve">n assessing whether </w:t>
      </w:r>
      <w:r w:rsidR="00596876">
        <w:t>a</w:t>
      </w:r>
      <w:r w:rsidR="009A1D45">
        <w:t xml:space="preserve"> guardian’s </w:t>
      </w:r>
      <w:r w:rsidR="00B11318">
        <w:t>exercising</w:t>
      </w:r>
      <w:r w:rsidR="00596876">
        <w:t xml:space="preserve"> of</w:t>
      </w:r>
      <w:r w:rsidR="00B11318">
        <w:t xml:space="preserve"> this power </w:t>
      </w:r>
      <w:r w:rsidR="00596876">
        <w:t>constitutes an unreasonable invasion, the public body should also consider</w:t>
      </w:r>
      <w:r w:rsidR="00667D15">
        <w:t xml:space="preserve"> the minor’s ability to </w:t>
      </w:r>
      <w:r w:rsidR="00FB2553">
        <w:t xml:space="preserve">consent for themselves. </w:t>
      </w:r>
    </w:p>
    <w:p w14:paraId="1F115EC2" w14:textId="5ABFCC7E" w:rsidR="008274A1" w:rsidRDefault="00493C6E" w:rsidP="00C62C07">
      <w:r>
        <w:t>When a guardian asserts this authority</w:t>
      </w:r>
      <w:r w:rsidR="00232274">
        <w:t>,</w:t>
      </w:r>
      <w:r w:rsidR="00492DB7">
        <w:t xml:space="preserve"> </w:t>
      </w:r>
      <w:r>
        <w:t xml:space="preserve">they must provide proof </w:t>
      </w:r>
      <w:r w:rsidR="00B324DA">
        <w:t>of guardianship</w:t>
      </w:r>
      <w:r w:rsidR="00F06733">
        <w:rPr>
          <w:lang w:val="en-CA"/>
        </w:rPr>
        <w:t xml:space="preserve">, such as a valid </w:t>
      </w:r>
      <w:r w:rsidR="00651F48">
        <w:t>custody or parenting order, or other reliable evidence</w:t>
      </w:r>
      <w:r w:rsidR="00611793">
        <w:t xml:space="preserve"> </w:t>
      </w:r>
      <w:r w:rsidR="00DA4C35">
        <w:t>appropriate to</w:t>
      </w:r>
      <w:r w:rsidR="00611793">
        <w:t xml:space="preserve"> the circumstances</w:t>
      </w:r>
      <w:r w:rsidR="00651F48">
        <w:t xml:space="preserve">. Regardless of </w:t>
      </w:r>
      <w:r w:rsidR="00DA4C35">
        <w:t>the</w:t>
      </w:r>
      <w:r w:rsidR="00651F48">
        <w:t xml:space="preserve"> evidence provided</w:t>
      </w:r>
      <w:r w:rsidR="00611793">
        <w:t xml:space="preserve">, the public body should verify the identity of the individual. </w:t>
      </w:r>
    </w:p>
    <w:p w14:paraId="088CC1ED" w14:textId="7993B834" w:rsidR="00697866" w:rsidRDefault="00CE69E0" w:rsidP="00C62C07">
      <w:r>
        <w:t xml:space="preserve">For </w:t>
      </w:r>
      <w:r w:rsidR="00F53B60">
        <w:t>a list of all</w:t>
      </w:r>
      <w:r>
        <w:t xml:space="preserve"> circumstances where one individual may exercise the rights or powers of another under POPA, </w:t>
      </w:r>
      <w:r w:rsidR="00BE48A3">
        <w:t xml:space="preserve">refer to section </w:t>
      </w:r>
      <w:r w:rsidR="00697866">
        <w:t>54(1)</w:t>
      </w:r>
      <w:r w:rsidR="00EF465C">
        <w:t xml:space="preserve"> of the Act</w:t>
      </w:r>
      <w:r w:rsidR="00BE48A3">
        <w:t>.</w:t>
      </w:r>
      <w:r w:rsidR="00D60FBC">
        <w:t xml:space="preserve"> </w:t>
      </w:r>
    </w:p>
    <w:p w14:paraId="28E9C0DB" w14:textId="6AE4937F" w:rsidR="002C1C90" w:rsidRPr="00D723B6" w:rsidRDefault="002C1C90" w:rsidP="002C1C90">
      <w:pPr>
        <w:pStyle w:val="Heading3"/>
      </w:pPr>
      <w:r>
        <w:t>Withdrawal and Expiry of Consent</w:t>
      </w:r>
    </w:p>
    <w:p w14:paraId="182E0FD0" w14:textId="230930D6" w:rsidR="00C9288F" w:rsidRDefault="00C8631A" w:rsidP="00B80660">
      <w:pPr>
        <w:rPr>
          <w:lang w:val="en-CA"/>
        </w:rPr>
      </w:pPr>
      <w:r>
        <w:rPr>
          <w:lang w:val="en-CA"/>
        </w:rPr>
        <w:t xml:space="preserve">Individuals may withdraw their </w:t>
      </w:r>
      <w:r w:rsidR="002C3B98">
        <w:rPr>
          <w:lang w:val="en-CA"/>
        </w:rPr>
        <w:t>consent</w:t>
      </w:r>
      <w:r>
        <w:rPr>
          <w:lang w:val="en-CA"/>
        </w:rPr>
        <w:t xml:space="preserve"> at any tim</w:t>
      </w:r>
      <w:r w:rsidR="002C3B98">
        <w:rPr>
          <w:lang w:val="en-CA"/>
        </w:rPr>
        <w:t xml:space="preserve">e by </w:t>
      </w:r>
      <w:r w:rsidR="00D0310A">
        <w:rPr>
          <w:lang w:val="en-CA"/>
        </w:rPr>
        <w:t xml:space="preserve">notifying the public body. </w:t>
      </w:r>
      <w:r w:rsidR="00EE5E72">
        <w:rPr>
          <w:lang w:val="en-CA"/>
        </w:rPr>
        <w:t xml:space="preserve"> </w:t>
      </w:r>
    </w:p>
    <w:p w14:paraId="7FC3D8E9" w14:textId="47508150" w:rsidR="002C1C90" w:rsidRDefault="002115CE" w:rsidP="00C8272A">
      <w:pPr>
        <w:rPr>
          <w:lang w:val="en-CA"/>
        </w:rPr>
      </w:pPr>
      <w:r>
        <w:rPr>
          <w:lang w:val="en-CA"/>
        </w:rPr>
        <w:t>As a best practice,</w:t>
      </w:r>
      <w:r w:rsidR="00416FBB">
        <w:rPr>
          <w:lang w:val="en-CA"/>
        </w:rPr>
        <w:t xml:space="preserve"> </w:t>
      </w:r>
      <w:r w:rsidR="008C03FE">
        <w:rPr>
          <w:lang w:val="en-CA"/>
        </w:rPr>
        <w:t>public bodies should</w:t>
      </w:r>
      <w:r w:rsidR="00C3409D">
        <w:rPr>
          <w:lang w:val="en-CA"/>
        </w:rPr>
        <w:t xml:space="preserve"> inform individuals, where possible and at the time consent is obtained, of any </w:t>
      </w:r>
      <w:r w:rsidR="00146FA9">
        <w:rPr>
          <w:lang w:val="en-CA"/>
        </w:rPr>
        <w:t xml:space="preserve">limitations, consequences or implications </w:t>
      </w:r>
      <w:r w:rsidR="00C8272A">
        <w:rPr>
          <w:lang w:val="en-CA"/>
        </w:rPr>
        <w:t xml:space="preserve">of withdrawing consent to ensure it is fully informed. </w:t>
      </w:r>
    </w:p>
    <w:p w14:paraId="5F4988C4" w14:textId="02F57830" w:rsidR="009E4EE0" w:rsidRDefault="002D2959" w:rsidP="00C8272A">
      <w:pPr>
        <w:rPr>
          <w:lang w:val="en-CA"/>
        </w:rPr>
      </w:pPr>
      <w:r>
        <w:rPr>
          <w:lang w:val="en-CA"/>
        </w:rPr>
        <w:lastRenderedPageBreak/>
        <w:t xml:space="preserve">Provided all requirements are met, consent remains valid unless an individual withdraws their consent, or </w:t>
      </w:r>
      <w:r w:rsidR="00B53652">
        <w:rPr>
          <w:lang w:val="en-CA"/>
        </w:rPr>
        <w:t>the</w:t>
      </w:r>
      <w:r w:rsidR="00CF33DA">
        <w:rPr>
          <w:lang w:val="en-CA"/>
        </w:rPr>
        <w:t xml:space="preserve"> </w:t>
      </w:r>
      <w:r w:rsidR="00190D81">
        <w:rPr>
          <w:lang w:val="en-CA"/>
        </w:rPr>
        <w:t>expiration date of the</w:t>
      </w:r>
      <w:r w:rsidR="00CF33DA">
        <w:rPr>
          <w:lang w:val="en-CA"/>
        </w:rPr>
        <w:t xml:space="preserve"> consent</w:t>
      </w:r>
      <w:r w:rsidR="00940531">
        <w:rPr>
          <w:lang w:val="en-CA"/>
        </w:rPr>
        <w:t>, if applicable,</w:t>
      </w:r>
      <w:r w:rsidR="00CF33DA">
        <w:rPr>
          <w:lang w:val="en-CA"/>
        </w:rPr>
        <w:t xml:space="preserve"> has passed</w:t>
      </w:r>
      <w:r w:rsidR="00940531">
        <w:rPr>
          <w:lang w:val="en-CA"/>
        </w:rPr>
        <w:t>.</w:t>
      </w:r>
      <w:r w:rsidR="00CF33DA">
        <w:rPr>
          <w:lang w:val="en-CA"/>
        </w:rPr>
        <w:t xml:space="preserve"> </w:t>
      </w:r>
    </w:p>
    <w:p w14:paraId="6AF6DA10" w14:textId="52137481" w:rsidR="00775F7D" w:rsidRDefault="007465CB" w:rsidP="00C8272A">
      <w:pPr>
        <w:rPr>
          <w:lang w:val="en-CA"/>
        </w:rPr>
      </w:pPr>
      <w:r>
        <w:rPr>
          <w:lang w:val="en-CA"/>
        </w:rPr>
        <w:t>A public body</w:t>
      </w:r>
      <w:r w:rsidR="00C36753">
        <w:rPr>
          <w:lang w:val="en-CA"/>
        </w:rPr>
        <w:t xml:space="preserve"> </w:t>
      </w:r>
      <w:r w:rsidR="00721E59">
        <w:rPr>
          <w:lang w:val="en-CA"/>
        </w:rPr>
        <w:t>may choose to set an expiration date for the consent, based on</w:t>
      </w:r>
      <w:r w:rsidR="00A7765D">
        <w:rPr>
          <w:lang w:val="en-CA"/>
        </w:rPr>
        <w:t xml:space="preserve"> the circumstances and</w:t>
      </w:r>
      <w:r w:rsidR="00721E59">
        <w:rPr>
          <w:lang w:val="en-CA"/>
        </w:rPr>
        <w:t xml:space="preserve"> </w:t>
      </w:r>
      <w:r>
        <w:rPr>
          <w:lang w:val="en-CA"/>
        </w:rPr>
        <w:t>its</w:t>
      </w:r>
      <w:r w:rsidR="00721E59">
        <w:rPr>
          <w:lang w:val="en-CA"/>
        </w:rPr>
        <w:t xml:space="preserve"> business needs. </w:t>
      </w:r>
      <w:r w:rsidR="00775F7D">
        <w:rPr>
          <w:lang w:val="en-CA"/>
        </w:rPr>
        <w:t>However, even when no date is set, it is recommended that public bodies establish polic</w:t>
      </w:r>
      <w:r w:rsidR="005D4274">
        <w:rPr>
          <w:lang w:val="en-CA"/>
        </w:rPr>
        <w:t>ies</w:t>
      </w:r>
      <w:r w:rsidR="00073940">
        <w:rPr>
          <w:lang w:val="en-CA"/>
        </w:rPr>
        <w:t xml:space="preserve"> to ensure regular reviews and updates of consent after a reasonable </w:t>
      </w:r>
      <w:proofErr w:type="gramStart"/>
      <w:r w:rsidR="00073940">
        <w:rPr>
          <w:lang w:val="en-CA"/>
        </w:rPr>
        <w:t>period of time</w:t>
      </w:r>
      <w:proofErr w:type="gramEnd"/>
      <w:r w:rsidR="00073940">
        <w:rPr>
          <w:lang w:val="en-CA"/>
        </w:rPr>
        <w:t xml:space="preserve">. This is a best practice measure to </w:t>
      </w:r>
      <w:r w:rsidR="00995785">
        <w:rPr>
          <w:lang w:val="en-CA"/>
        </w:rPr>
        <w:t xml:space="preserve">ensure records of consent are updated </w:t>
      </w:r>
      <w:r w:rsidR="005D4274">
        <w:rPr>
          <w:lang w:val="en-CA"/>
        </w:rPr>
        <w:t xml:space="preserve">regularly, even if the consent does not expire. </w:t>
      </w:r>
    </w:p>
    <w:p w14:paraId="07D7DFD9" w14:textId="77777777" w:rsidR="00A03A14" w:rsidRPr="004A7DF6" w:rsidRDefault="00A03A14" w:rsidP="00E701D5">
      <w:pPr>
        <w:pStyle w:val="Heading3"/>
      </w:pPr>
      <w:bookmarkStart w:id="5" w:name="_Retention"/>
      <w:bookmarkEnd w:id="5"/>
      <w:r>
        <w:t>Retention</w:t>
      </w:r>
    </w:p>
    <w:p w14:paraId="2CB79154" w14:textId="3D571AA3" w:rsidR="002B2F05" w:rsidRDefault="00207DC7" w:rsidP="00C8272A">
      <w:pPr>
        <w:rPr>
          <w:lang w:val="en-CA"/>
        </w:rPr>
      </w:pPr>
      <w:r w:rsidRPr="00207DC7">
        <w:rPr>
          <w:lang w:val="en-CA"/>
        </w:rPr>
        <w:t xml:space="preserve">While consent expiration dates are optional and the required retention period for consent records is not explicitly defined, if personal information—such as a record of consent—is used to </w:t>
      </w:r>
      <w:proofErr w:type="gramStart"/>
      <w:r w:rsidRPr="00207DC7">
        <w:rPr>
          <w:lang w:val="en-CA"/>
        </w:rPr>
        <w:t>make a decision</w:t>
      </w:r>
      <w:proofErr w:type="gramEnd"/>
      <w:r w:rsidRPr="00207DC7">
        <w:rPr>
          <w:lang w:val="en-CA"/>
        </w:rPr>
        <w:t xml:space="preserve"> that directly affects an individual, the public body must retain that record in accordance with section 6 of POPA and its internal retention and disposition policies.</w:t>
      </w:r>
    </w:p>
    <w:p w14:paraId="09D5EB8E" w14:textId="44A66ED9" w:rsidR="009F186B" w:rsidRPr="00CD1E1F" w:rsidRDefault="009F186B" w:rsidP="009F186B">
      <w:pPr>
        <w:pStyle w:val="Heading3"/>
      </w:pPr>
      <w:bookmarkStart w:id="6" w:name="_Authentication_Processes"/>
      <w:bookmarkEnd w:id="6"/>
      <w:r>
        <w:t>Authentication Processes</w:t>
      </w:r>
    </w:p>
    <w:p w14:paraId="57B2365E" w14:textId="1708156D" w:rsidR="002F6115" w:rsidRDefault="00D04B28" w:rsidP="00C8272A">
      <w:pPr>
        <w:rPr>
          <w:lang w:val="en-CA"/>
        </w:rPr>
      </w:pPr>
      <w:r>
        <w:rPr>
          <w:lang w:val="en-CA"/>
        </w:rPr>
        <w:t>Under section 10 of POPA, public bodies are required to protect personal information in their custody or control</w:t>
      </w:r>
      <w:r w:rsidR="001E41B8">
        <w:rPr>
          <w:lang w:val="en-CA"/>
        </w:rPr>
        <w:t xml:space="preserve"> </w:t>
      </w:r>
      <w:r w:rsidR="00416604">
        <w:rPr>
          <w:lang w:val="en-CA"/>
        </w:rPr>
        <w:t xml:space="preserve">by making reasonable security arrangements </w:t>
      </w:r>
      <w:r w:rsidR="001E41B8">
        <w:rPr>
          <w:lang w:val="en-CA"/>
        </w:rPr>
        <w:t xml:space="preserve">against </w:t>
      </w:r>
      <w:r w:rsidR="006C431C">
        <w:rPr>
          <w:lang w:val="en-CA"/>
        </w:rPr>
        <w:t>such risks</w:t>
      </w:r>
      <w:r w:rsidR="001E41B8">
        <w:rPr>
          <w:lang w:val="en-CA"/>
        </w:rPr>
        <w:t xml:space="preserve"> as unauthorized use or disclosure</w:t>
      </w:r>
      <w:r w:rsidR="002F6115">
        <w:rPr>
          <w:lang w:val="en-CA"/>
        </w:rPr>
        <w:t>, among others</w:t>
      </w:r>
      <w:r w:rsidR="00416604">
        <w:rPr>
          <w:lang w:val="en-CA"/>
        </w:rPr>
        <w:t xml:space="preserve">. </w:t>
      </w:r>
      <w:r w:rsidR="004E3B18">
        <w:rPr>
          <w:lang w:val="en-CA"/>
        </w:rPr>
        <w:t xml:space="preserve">This applies regardless of the form of consent </w:t>
      </w:r>
      <w:r w:rsidR="00610CCA">
        <w:rPr>
          <w:lang w:val="en-CA"/>
        </w:rPr>
        <w:t xml:space="preserve">used. </w:t>
      </w:r>
    </w:p>
    <w:p w14:paraId="0243C2D6" w14:textId="45FC6091" w:rsidR="00551ACB" w:rsidRDefault="000943D7" w:rsidP="00C8272A">
      <w:pPr>
        <w:rPr>
          <w:lang w:val="en-CA"/>
        </w:rPr>
      </w:pPr>
      <w:r>
        <w:rPr>
          <w:lang w:val="en-CA"/>
        </w:rPr>
        <w:t xml:space="preserve">In the context of consent, </w:t>
      </w:r>
      <w:r w:rsidR="00AC5847">
        <w:rPr>
          <w:lang w:val="en-CA"/>
        </w:rPr>
        <w:t>p</w:t>
      </w:r>
      <w:r w:rsidR="00AC5847" w:rsidRPr="00AC5847">
        <w:rPr>
          <w:lang w:val="en-CA"/>
        </w:rPr>
        <w:t>rivacy protection requires verifying or “authenticating” the identity of the individual giving consent.</w:t>
      </w:r>
      <w:r w:rsidR="00714BD6">
        <w:rPr>
          <w:lang w:val="en-CA"/>
        </w:rPr>
        <w:t xml:space="preserve"> </w:t>
      </w:r>
      <w:r w:rsidR="00551ACB">
        <w:rPr>
          <w:lang w:val="en-CA"/>
        </w:rPr>
        <w:t xml:space="preserve">Authenticating an individual’s identity can be done using a variety of </w:t>
      </w:r>
      <w:r w:rsidR="00621AD7">
        <w:rPr>
          <w:lang w:val="en-CA"/>
        </w:rPr>
        <w:t>methods and</w:t>
      </w:r>
      <w:r w:rsidR="00551ACB">
        <w:rPr>
          <w:lang w:val="en-CA"/>
        </w:rPr>
        <w:t xml:space="preserve"> </w:t>
      </w:r>
      <w:r w:rsidR="00621AD7">
        <w:rPr>
          <w:lang w:val="en-CA"/>
        </w:rPr>
        <w:t>will likely</w:t>
      </w:r>
      <w:r w:rsidR="00551ACB">
        <w:rPr>
          <w:lang w:val="en-CA"/>
        </w:rPr>
        <w:t xml:space="preserve"> depend </w:t>
      </w:r>
      <w:r w:rsidR="00714BD6">
        <w:rPr>
          <w:lang w:val="en-CA"/>
        </w:rPr>
        <w:t xml:space="preserve">on the </w:t>
      </w:r>
      <w:r w:rsidR="00937074">
        <w:rPr>
          <w:lang w:val="en-CA"/>
        </w:rPr>
        <w:t xml:space="preserve">form of consent a public body </w:t>
      </w:r>
      <w:r w:rsidR="007E3D7D">
        <w:rPr>
          <w:lang w:val="en-CA"/>
        </w:rPr>
        <w:t>is using</w:t>
      </w:r>
      <w:r w:rsidR="00551ACB">
        <w:rPr>
          <w:lang w:val="en-CA"/>
        </w:rPr>
        <w:t xml:space="preserve">. Typically, these methods can be categorized into three main types: </w:t>
      </w:r>
    </w:p>
    <w:p w14:paraId="0BC475CD" w14:textId="69B373D7" w:rsidR="009D67EB" w:rsidRPr="00C6251E" w:rsidRDefault="00621AD7" w:rsidP="003251B5">
      <w:pPr>
        <w:pStyle w:val="ListParagraph"/>
        <w:numPr>
          <w:ilvl w:val="0"/>
          <w:numId w:val="30"/>
        </w:numPr>
        <w:rPr>
          <w:lang w:val="en-CA"/>
        </w:rPr>
      </w:pPr>
      <w:r>
        <w:rPr>
          <w:lang w:val="en-CA"/>
        </w:rPr>
        <w:t xml:space="preserve">Something </w:t>
      </w:r>
      <w:r w:rsidR="00132E08">
        <w:rPr>
          <w:lang w:val="en-CA"/>
        </w:rPr>
        <w:t>the individual</w:t>
      </w:r>
      <w:r>
        <w:rPr>
          <w:lang w:val="en-CA"/>
        </w:rPr>
        <w:t xml:space="preserve"> know</w:t>
      </w:r>
      <w:r w:rsidR="00132E08">
        <w:rPr>
          <w:lang w:val="en-CA"/>
        </w:rPr>
        <w:t>s</w:t>
      </w:r>
      <w:r w:rsidR="003465C6">
        <w:rPr>
          <w:lang w:val="en-CA"/>
        </w:rPr>
        <w:t xml:space="preserve"> (could include</w:t>
      </w:r>
      <w:r w:rsidR="003465C6" w:rsidRPr="00305DA9">
        <w:rPr>
          <w:lang w:val="en-CA"/>
        </w:rPr>
        <w:t xml:space="preserve"> requesting confirmation of details only the individual would know </w:t>
      </w:r>
      <w:r w:rsidR="000F35B6">
        <w:rPr>
          <w:lang w:val="en-CA"/>
        </w:rPr>
        <w:t xml:space="preserve">such as </w:t>
      </w:r>
      <w:r w:rsidR="004C2487">
        <w:rPr>
          <w:lang w:val="en-CA"/>
        </w:rPr>
        <w:t>using</w:t>
      </w:r>
      <w:r w:rsidR="003465C6" w:rsidRPr="00305DA9">
        <w:rPr>
          <w:lang w:val="en-CA"/>
        </w:rPr>
        <w:t xml:space="preserve"> security questions, using multi-factor authentication, etc.)</w:t>
      </w:r>
      <w:r w:rsidR="002117FA">
        <w:rPr>
          <w:lang w:val="en-CA"/>
        </w:rPr>
        <w:t>.</w:t>
      </w:r>
    </w:p>
    <w:p w14:paraId="4B74259C" w14:textId="64409B67" w:rsidR="000943D7" w:rsidRPr="002117FA" w:rsidRDefault="00C155B6" w:rsidP="003251B5">
      <w:pPr>
        <w:pStyle w:val="ListParagraph"/>
        <w:numPr>
          <w:ilvl w:val="0"/>
          <w:numId w:val="30"/>
        </w:numPr>
        <w:rPr>
          <w:lang w:val="en-CA"/>
        </w:rPr>
      </w:pPr>
      <w:r>
        <w:rPr>
          <w:lang w:val="en-CA"/>
        </w:rPr>
        <w:t xml:space="preserve">Something </w:t>
      </w:r>
      <w:r w:rsidR="00132E08">
        <w:rPr>
          <w:lang w:val="en-CA"/>
        </w:rPr>
        <w:t>the individual</w:t>
      </w:r>
      <w:r>
        <w:rPr>
          <w:lang w:val="en-CA"/>
        </w:rPr>
        <w:t xml:space="preserve"> ha</w:t>
      </w:r>
      <w:r w:rsidR="00132E08">
        <w:rPr>
          <w:lang w:val="en-CA"/>
        </w:rPr>
        <w:t>s</w:t>
      </w:r>
      <w:r w:rsidR="003465C6">
        <w:rPr>
          <w:lang w:val="en-CA"/>
        </w:rPr>
        <w:t xml:space="preserve"> (could include </w:t>
      </w:r>
      <w:r w:rsidR="003465C6" w:rsidRPr="003251B5">
        <w:rPr>
          <w:lang w:val="en-CA"/>
        </w:rPr>
        <w:t>requesting government-issued photo identification, or other valid identification</w:t>
      </w:r>
      <w:r w:rsidR="003465C6">
        <w:rPr>
          <w:lang w:val="en-CA"/>
        </w:rPr>
        <w:t>)</w:t>
      </w:r>
      <w:r w:rsidR="002117FA">
        <w:rPr>
          <w:lang w:val="en-CA"/>
        </w:rPr>
        <w:t>.</w:t>
      </w:r>
    </w:p>
    <w:p w14:paraId="7078886F" w14:textId="18514511" w:rsidR="00022666" w:rsidRPr="00F86986" w:rsidRDefault="00022666" w:rsidP="003251B5">
      <w:pPr>
        <w:pStyle w:val="ListParagraph"/>
        <w:numPr>
          <w:ilvl w:val="0"/>
          <w:numId w:val="30"/>
        </w:numPr>
        <w:rPr>
          <w:lang w:val="en-CA"/>
        </w:rPr>
      </w:pPr>
      <w:r w:rsidRPr="00022666">
        <w:rPr>
          <w:lang w:val="en-CA"/>
        </w:rPr>
        <w:t xml:space="preserve">Something </w:t>
      </w:r>
      <w:r w:rsidR="00B928A8">
        <w:rPr>
          <w:lang w:val="en-CA"/>
        </w:rPr>
        <w:t>the individual is</w:t>
      </w:r>
      <w:r w:rsidR="00267887">
        <w:rPr>
          <w:lang w:val="en-CA"/>
        </w:rPr>
        <w:t xml:space="preserve"> (could include, </w:t>
      </w:r>
      <w:r w:rsidR="00267887" w:rsidRPr="003251B5">
        <w:rPr>
          <w:lang w:val="en-CA"/>
        </w:rPr>
        <w:t>biometric data, such as fingerprints, voice patterns, iris scans, etc</w:t>
      </w:r>
      <w:r w:rsidR="000817AF">
        <w:rPr>
          <w:lang w:val="en-CA"/>
        </w:rPr>
        <w:t>.</w:t>
      </w:r>
      <w:r w:rsidR="00267887">
        <w:rPr>
          <w:lang w:val="en-CA"/>
        </w:rPr>
        <w:t>)</w:t>
      </w:r>
      <w:r w:rsidR="00F86986">
        <w:rPr>
          <w:lang w:val="en-CA"/>
        </w:rPr>
        <w:t>.</w:t>
      </w:r>
    </w:p>
    <w:p w14:paraId="352D67BB" w14:textId="7357A678" w:rsidR="00911008" w:rsidRDefault="00C57654" w:rsidP="00C24EA0">
      <w:pPr>
        <w:rPr>
          <w:lang w:val="en-CA"/>
        </w:rPr>
      </w:pPr>
      <w:r>
        <w:rPr>
          <w:lang w:val="en-CA"/>
        </w:rPr>
        <w:t>As discussed</w:t>
      </w:r>
      <w:r w:rsidR="00461D5D">
        <w:rPr>
          <w:lang w:val="en-CA"/>
        </w:rPr>
        <w:t xml:space="preserve"> under </w:t>
      </w:r>
      <w:hyperlink w:anchor="_Technical_Requirements" w:history="1">
        <w:r w:rsidR="00461D5D" w:rsidRPr="00BA6589">
          <w:rPr>
            <w:rStyle w:val="Hyperlink"/>
            <w:color w:val="auto"/>
            <w:lang w:val="en-CA"/>
          </w:rPr>
          <w:t>Technical Requirements</w:t>
        </w:r>
      </w:hyperlink>
      <w:r w:rsidR="00461D5D" w:rsidRPr="00BA6589">
        <w:rPr>
          <w:u w:val="single"/>
          <w:lang w:val="en-CA"/>
        </w:rPr>
        <w:t xml:space="preserve"> for </w:t>
      </w:r>
      <w:r w:rsidR="00BA6589" w:rsidRPr="00BA6589">
        <w:rPr>
          <w:u w:val="single"/>
          <w:lang w:val="en-CA"/>
        </w:rPr>
        <w:t>Oral Consent</w:t>
      </w:r>
      <w:r w:rsidR="00461D5D">
        <w:rPr>
          <w:lang w:val="en-CA"/>
        </w:rPr>
        <w:t>, the</w:t>
      </w:r>
      <w:r w:rsidR="00911008">
        <w:rPr>
          <w:lang w:val="en-CA"/>
        </w:rPr>
        <w:t xml:space="preserve"> reliability of the authentication method </w:t>
      </w:r>
      <w:r w:rsidR="00C25C65">
        <w:rPr>
          <w:lang w:val="en-CA"/>
        </w:rPr>
        <w:t xml:space="preserve">will depend on the purpose for which the consent is being given, and the sensitivity of the personal information involved. </w:t>
      </w:r>
    </w:p>
    <w:p w14:paraId="79627C6C" w14:textId="77777777" w:rsidR="00631E71" w:rsidRDefault="00BE7C65" w:rsidP="00C24EA0">
      <w:pPr>
        <w:rPr>
          <w:lang w:val="en-CA"/>
        </w:rPr>
      </w:pPr>
      <w:r>
        <w:rPr>
          <w:lang w:val="en-CA"/>
        </w:rPr>
        <w:t>For</w:t>
      </w:r>
      <w:r w:rsidR="007026ED">
        <w:rPr>
          <w:lang w:val="en-CA"/>
        </w:rPr>
        <w:t xml:space="preserve"> consistency</w:t>
      </w:r>
      <w:r w:rsidR="00411BDD">
        <w:rPr>
          <w:lang w:val="en-CA"/>
        </w:rPr>
        <w:t xml:space="preserve"> and</w:t>
      </w:r>
      <w:r w:rsidR="00C7459E">
        <w:rPr>
          <w:lang w:val="en-CA"/>
        </w:rPr>
        <w:t xml:space="preserve"> </w:t>
      </w:r>
      <w:r>
        <w:rPr>
          <w:lang w:val="en-CA"/>
        </w:rPr>
        <w:t>to</w:t>
      </w:r>
      <w:r w:rsidR="00286E67">
        <w:rPr>
          <w:lang w:val="en-CA"/>
        </w:rPr>
        <w:t xml:space="preserve"> help</w:t>
      </w:r>
      <w:r>
        <w:rPr>
          <w:lang w:val="en-CA"/>
        </w:rPr>
        <w:t xml:space="preserve"> ensure personal information is </w:t>
      </w:r>
      <w:r w:rsidR="00286E67">
        <w:rPr>
          <w:lang w:val="en-CA"/>
        </w:rPr>
        <w:t xml:space="preserve">protected, public bodies should establish </w:t>
      </w:r>
      <w:r w:rsidR="001839AD">
        <w:rPr>
          <w:lang w:val="en-CA"/>
        </w:rPr>
        <w:t xml:space="preserve">internal </w:t>
      </w:r>
      <w:r w:rsidR="00286E67">
        <w:rPr>
          <w:lang w:val="en-CA"/>
        </w:rPr>
        <w:t>authentication processes</w:t>
      </w:r>
      <w:r w:rsidR="001839AD">
        <w:rPr>
          <w:lang w:val="en-CA"/>
        </w:rPr>
        <w:t xml:space="preserve"> to verify the identities of individuals. </w:t>
      </w:r>
    </w:p>
    <w:p w14:paraId="08772395" w14:textId="29148CEF" w:rsidR="009A68E3" w:rsidRDefault="00F16BF9" w:rsidP="00C24EA0">
      <w:pPr>
        <w:rPr>
          <w:lang w:val="en-CA"/>
        </w:rPr>
      </w:pPr>
      <w:r>
        <w:rPr>
          <w:lang w:val="en-CA"/>
        </w:rPr>
        <w:t xml:space="preserve">When developing </w:t>
      </w:r>
      <w:r w:rsidR="00185A9B">
        <w:rPr>
          <w:lang w:val="en-CA"/>
        </w:rPr>
        <w:t>th</w:t>
      </w:r>
      <w:r w:rsidR="00B928A8">
        <w:rPr>
          <w:lang w:val="en-CA"/>
        </w:rPr>
        <w:t>ese</w:t>
      </w:r>
      <w:r>
        <w:rPr>
          <w:lang w:val="en-CA"/>
        </w:rPr>
        <w:t xml:space="preserve"> process</w:t>
      </w:r>
      <w:r w:rsidR="004237F1">
        <w:rPr>
          <w:lang w:val="en-CA"/>
        </w:rPr>
        <w:t>es</w:t>
      </w:r>
      <w:r w:rsidR="00564667">
        <w:rPr>
          <w:lang w:val="en-CA"/>
        </w:rPr>
        <w:t xml:space="preserve">, public bodies </w:t>
      </w:r>
      <w:r w:rsidR="00891FA7">
        <w:rPr>
          <w:lang w:val="en-CA"/>
        </w:rPr>
        <w:t>should</w:t>
      </w:r>
      <w:r w:rsidR="00564667">
        <w:rPr>
          <w:lang w:val="en-CA"/>
        </w:rPr>
        <w:t xml:space="preserve"> consider</w:t>
      </w:r>
      <w:r w:rsidR="009A68E3">
        <w:rPr>
          <w:lang w:val="en-CA"/>
        </w:rPr>
        <w:t xml:space="preserve"> </w:t>
      </w:r>
      <w:r w:rsidR="00891FA7">
        <w:rPr>
          <w:lang w:val="en-CA"/>
        </w:rPr>
        <w:t xml:space="preserve">various authentication methods – such as those previously outlined – based on the type and </w:t>
      </w:r>
      <w:r w:rsidR="006030C5">
        <w:rPr>
          <w:lang w:val="en-CA"/>
        </w:rPr>
        <w:t>format of consent</w:t>
      </w:r>
      <w:r w:rsidR="004B1E8C">
        <w:rPr>
          <w:lang w:val="en-CA"/>
        </w:rPr>
        <w:t xml:space="preserve"> (written, electronic, or oral)</w:t>
      </w:r>
      <w:r w:rsidR="006030C5">
        <w:rPr>
          <w:lang w:val="en-CA"/>
        </w:rPr>
        <w:t xml:space="preserve">, how that consent is recorded, their technical capabilities, </w:t>
      </w:r>
      <w:r w:rsidR="00592DFD">
        <w:rPr>
          <w:lang w:val="en-CA"/>
        </w:rPr>
        <w:t xml:space="preserve">the type and sensitivity of the personal information involved, </w:t>
      </w:r>
      <w:r w:rsidR="004B1E8C">
        <w:rPr>
          <w:lang w:val="en-CA"/>
        </w:rPr>
        <w:t xml:space="preserve">their internal </w:t>
      </w:r>
      <w:r w:rsidR="004B1E8C">
        <w:t>information technology standards</w:t>
      </w:r>
      <w:r w:rsidR="00C61CCD">
        <w:t>,</w:t>
      </w:r>
      <w:r w:rsidR="004B1E8C">
        <w:t xml:space="preserve"> their business needs</w:t>
      </w:r>
      <w:r w:rsidR="00225CE5">
        <w:t>, th</w:t>
      </w:r>
      <w:r w:rsidR="00057FD6">
        <w:t xml:space="preserve">ose of the public they serve, </w:t>
      </w:r>
      <w:r w:rsidR="00C4367B">
        <w:t>and</w:t>
      </w:r>
      <w:r w:rsidR="00057FD6">
        <w:t xml:space="preserve"> their clients’ technical capabilities</w:t>
      </w:r>
      <w:r w:rsidR="004B1E8C">
        <w:t>.</w:t>
      </w:r>
    </w:p>
    <w:p w14:paraId="6428028D" w14:textId="77777777" w:rsidR="00A600F2" w:rsidRPr="00CD1E1F" w:rsidRDefault="00A600F2" w:rsidP="00CD1E1F">
      <w:pPr>
        <w:pStyle w:val="Heading3"/>
      </w:pPr>
      <w:r w:rsidRPr="00CD1E1F">
        <w:t>Privacy Management Programs</w:t>
      </w:r>
    </w:p>
    <w:p w14:paraId="5E0B99B9" w14:textId="4CEAD1D3" w:rsidR="00A600F2" w:rsidRDefault="00FC2222" w:rsidP="00CD1E1F">
      <w:r>
        <w:t>S</w:t>
      </w:r>
      <w:r w:rsidR="00A600F2">
        <w:t>ection 6(</w:t>
      </w:r>
      <w:r w:rsidR="00330881">
        <w:t>2</w:t>
      </w:r>
      <w:r w:rsidR="00A600F2">
        <w:t>)(</w:t>
      </w:r>
      <w:r w:rsidR="00C81CC0">
        <w:t>a</w:t>
      </w:r>
      <w:r w:rsidR="00A600F2">
        <w:t>)(i</w:t>
      </w:r>
      <w:r w:rsidR="00C81CC0">
        <w:t>v</w:t>
      </w:r>
      <w:r w:rsidR="00A600F2">
        <w:t xml:space="preserve">) of the </w:t>
      </w:r>
      <w:r w:rsidR="00330881">
        <w:t>Protection of Privacy (Ministerial) R</w:t>
      </w:r>
      <w:r w:rsidR="00A600F2">
        <w:t>egulation requires public bodies</w:t>
      </w:r>
      <w:r w:rsidR="00C81CC0">
        <w:t xml:space="preserve"> with a high volume of</w:t>
      </w:r>
      <w:r>
        <w:t xml:space="preserve"> personal information</w:t>
      </w:r>
      <w:r w:rsidR="00C81CC0">
        <w:t xml:space="preserve">, or </w:t>
      </w:r>
      <w:r w:rsidR="00CA18B5">
        <w:t xml:space="preserve">personal information considered to be </w:t>
      </w:r>
      <w:r w:rsidR="00C81CC0">
        <w:t>high sensitiv</w:t>
      </w:r>
      <w:r w:rsidR="00CA18B5">
        <w:t>ity</w:t>
      </w:r>
      <w:r>
        <w:t>,</w:t>
      </w:r>
      <w:r w:rsidR="00C81CC0">
        <w:t xml:space="preserve"> </w:t>
      </w:r>
      <w:r w:rsidR="00A600F2">
        <w:t xml:space="preserve">to establish internal policies and procedures </w:t>
      </w:r>
      <w:r w:rsidR="00CD1E1F">
        <w:t>related to oral, electronic and written consent</w:t>
      </w:r>
      <w:r>
        <w:t xml:space="preserve"> as part of their privacy management programs</w:t>
      </w:r>
      <w:r w:rsidR="00CD1E1F">
        <w:t xml:space="preserve">. </w:t>
      </w:r>
    </w:p>
    <w:p w14:paraId="3A705AF4" w14:textId="7D976D3F" w:rsidR="005F4C3F" w:rsidRDefault="00CF28BB" w:rsidP="005F4C3F">
      <w:r>
        <w:t xml:space="preserve">Each public body has </w:t>
      </w:r>
      <w:r w:rsidR="00A600F2">
        <w:t xml:space="preserve">the responsibility to ensure that all employees — including contractors — are informed of, and understand, these policies and procedures, as well as their specific responsibilities related to </w:t>
      </w:r>
      <w:r w:rsidR="00CD1E1F">
        <w:t>consent.</w:t>
      </w:r>
    </w:p>
    <w:p w14:paraId="15E84A64" w14:textId="19A7B9E2" w:rsidR="00F72784" w:rsidRDefault="00F72784" w:rsidP="00743487"/>
    <w:sectPr w:rsidR="00F72784" w:rsidSect="00BA0973">
      <w:type w:val="continuous"/>
      <w:pgSz w:w="12240" w:h="15840" w:code="1"/>
      <w:pgMar w:top="1080" w:right="1080" w:bottom="1440" w:left="1080" w:header="547" w:footer="403"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CFDB" w14:textId="77777777" w:rsidR="00523385" w:rsidRDefault="00523385" w:rsidP="00EB6203">
      <w:r>
        <w:separator/>
      </w:r>
    </w:p>
  </w:endnote>
  <w:endnote w:type="continuationSeparator" w:id="0">
    <w:p w14:paraId="394C667E" w14:textId="77777777" w:rsidR="00523385" w:rsidRDefault="00523385" w:rsidP="00EB6203">
      <w:r>
        <w:continuationSeparator/>
      </w:r>
    </w:p>
  </w:endnote>
  <w:endnote w:type="continuationNotice" w:id="1">
    <w:p w14:paraId="2602C863" w14:textId="77777777" w:rsidR="00523385" w:rsidRDefault="005233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1DD3" w14:textId="4CEFC61C" w:rsidR="006718B4" w:rsidRDefault="008A0E98">
    <w:pPr>
      <w:pStyle w:val="Footer"/>
    </w:pPr>
    <w:r>
      <w:rPr>
        <w:noProof/>
      </w:rPr>
      <mc:AlternateContent>
        <mc:Choice Requires="wps">
          <w:drawing>
            <wp:anchor distT="0" distB="0" distL="0" distR="0" simplePos="0" relativeHeight="251660289" behindDoc="0" locked="0" layoutInCell="1" allowOverlap="1" wp14:anchorId="258FFD4F" wp14:editId="1A77CD5C">
              <wp:simplePos x="635" y="635"/>
              <wp:positionH relativeFrom="page">
                <wp:align>left</wp:align>
              </wp:positionH>
              <wp:positionV relativeFrom="page">
                <wp:align>bottom</wp:align>
              </wp:positionV>
              <wp:extent cx="1407160" cy="361315"/>
              <wp:effectExtent l="0" t="0" r="2540" b="0"/>
              <wp:wrapNone/>
              <wp:docPr id="154562813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ACB436C" w14:textId="52E63E94" w:rsidR="008A0E98" w:rsidRPr="008A0E98" w:rsidRDefault="008A0E98" w:rsidP="008A0E98">
                          <w:pPr>
                            <w:spacing w:after="0"/>
                            <w:rPr>
                              <w:rFonts w:ascii="Calibri" w:eastAsia="Calibri" w:hAnsi="Calibri" w:cs="Calibri"/>
                              <w:noProof/>
                              <w:color w:val="000000"/>
                              <w:sz w:val="22"/>
                              <w:szCs w:val="22"/>
                            </w:rPr>
                          </w:pPr>
                          <w:r w:rsidRPr="008A0E98">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FFD4F"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2ACB436C" w14:textId="52E63E94" w:rsidR="008A0E98" w:rsidRPr="008A0E98" w:rsidRDefault="008A0E98" w:rsidP="008A0E98">
                    <w:pPr>
                      <w:spacing w:after="0"/>
                      <w:rPr>
                        <w:rFonts w:ascii="Calibri" w:eastAsia="Calibri" w:hAnsi="Calibri" w:cs="Calibri"/>
                        <w:noProof/>
                        <w:color w:val="000000"/>
                        <w:sz w:val="22"/>
                        <w:szCs w:val="22"/>
                      </w:rPr>
                    </w:pPr>
                    <w:r w:rsidRPr="008A0E98">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57DA" w14:textId="34DCC0B0" w:rsidR="005E6BEF" w:rsidRPr="008F283B" w:rsidRDefault="008A0E98" w:rsidP="00F86986">
    <w:pPr>
      <w:spacing w:after="80" w:line="240" w:lineRule="auto"/>
      <w:rPr>
        <w:sz w:val="14"/>
        <w:szCs w:val="14"/>
      </w:rPr>
    </w:pPr>
    <w:r>
      <w:rPr>
        <w:rFonts w:cs="HelveticaNeueLT Std Cn"/>
        <w:noProof/>
        <w:color w:val="36424A"/>
        <w:sz w:val="14"/>
        <w:szCs w:val="16"/>
        <w:lang w:val="en-CA" w:eastAsia="en-CA"/>
      </w:rPr>
      <mc:AlternateContent>
        <mc:Choice Requires="wps">
          <w:drawing>
            <wp:anchor distT="0" distB="0" distL="0" distR="0" simplePos="0" relativeHeight="251661313" behindDoc="0" locked="0" layoutInCell="1" allowOverlap="1" wp14:anchorId="3388FFE1" wp14:editId="1CEDE8F0">
              <wp:simplePos x="685800" y="9544050"/>
              <wp:positionH relativeFrom="page">
                <wp:align>left</wp:align>
              </wp:positionH>
              <wp:positionV relativeFrom="page">
                <wp:align>bottom</wp:align>
              </wp:positionV>
              <wp:extent cx="1407160" cy="361315"/>
              <wp:effectExtent l="0" t="0" r="2540" b="0"/>
              <wp:wrapNone/>
              <wp:docPr id="1380811269"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C19F4F8" w14:textId="4AD7ACF4" w:rsidR="008A0E98" w:rsidRPr="008A0E98" w:rsidRDefault="008A0E98" w:rsidP="008A0E98">
                          <w:pPr>
                            <w:spacing w:after="0"/>
                            <w:rPr>
                              <w:rFonts w:ascii="Calibri" w:eastAsia="Calibri" w:hAnsi="Calibri" w:cs="Calibri"/>
                              <w:noProof/>
                              <w:color w:val="000000"/>
                              <w:sz w:val="22"/>
                              <w:szCs w:val="22"/>
                            </w:rPr>
                          </w:pPr>
                          <w:r w:rsidRPr="008A0E98">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88FFE1"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textbox style="mso-fit-shape-to-text:t" inset="20pt,0,0,15pt">
                <w:txbxContent>
                  <w:p w14:paraId="3C19F4F8" w14:textId="4AD7ACF4" w:rsidR="008A0E98" w:rsidRPr="008A0E98" w:rsidRDefault="008A0E98" w:rsidP="008A0E98">
                    <w:pPr>
                      <w:spacing w:after="0"/>
                      <w:rPr>
                        <w:rFonts w:ascii="Calibri" w:eastAsia="Calibri" w:hAnsi="Calibri" w:cs="Calibri"/>
                        <w:noProof/>
                        <w:color w:val="000000"/>
                        <w:sz w:val="22"/>
                        <w:szCs w:val="22"/>
                      </w:rPr>
                    </w:pPr>
                    <w:r w:rsidRPr="008A0E98">
                      <w:rPr>
                        <w:rFonts w:ascii="Calibri" w:eastAsia="Calibri" w:hAnsi="Calibri" w:cs="Calibri"/>
                        <w:noProof/>
                        <w:color w:val="000000"/>
                        <w:sz w:val="22"/>
                        <w:szCs w:val="22"/>
                      </w:rPr>
                      <w:t>Classification: Public</w:t>
                    </w:r>
                  </w:p>
                </w:txbxContent>
              </v:textbox>
              <w10:wrap anchorx="page" anchory="page"/>
            </v:shape>
          </w:pict>
        </mc:Fallback>
      </mc:AlternateContent>
    </w:r>
    <w:r w:rsidR="004160ED" w:rsidRPr="0027121C">
      <w:rPr>
        <w:rFonts w:cs="HelveticaNeueLT Std Cn"/>
        <w:noProof/>
        <w:color w:val="36424A"/>
        <w:sz w:val="14"/>
        <w:szCs w:val="16"/>
        <w:lang w:val="en-CA" w:eastAsia="en-CA"/>
      </w:rPr>
      <w:drawing>
        <wp:anchor distT="0" distB="0" distL="114300" distR="114300" simplePos="0" relativeHeight="251658241" behindDoc="0" locked="0" layoutInCell="1" allowOverlap="1" wp14:anchorId="109DB348" wp14:editId="5DF3F823">
          <wp:simplePos x="0" y="0"/>
          <wp:positionH relativeFrom="column">
            <wp:posOffset>5261610</wp:posOffset>
          </wp:positionH>
          <wp:positionV relativeFrom="page">
            <wp:posOffset>9402445</wp:posOffset>
          </wp:positionV>
          <wp:extent cx="1134745" cy="3200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34745" cy="320040"/>
                  </a:xfrm>
                  <a:prstGeom prst="rect">
                    <a:avLst/>
                  </a:prstGeom>
                </pic:spPr>
              </pic:pic>
            </a:graphicData>
          </a:graphic>
          <wp14:sizeRelH relativeFrom="margin">
            <wp14:pctWidth>0</wp14:pctWidth>
          </wp14:sizeRelH>
        </wp:anchor>
      </w:drawing>
    </w:r>
    <w:r w:rsidR="006F02A9">
      <w:rPr>
        <w:rFonts w:cs="HelveticaNeueLT Std Cn"/>
        <w:sz w:val="14"/>
        <w:szCs w:val="14"/>
      </w:rPr>
      <w:t>©202</w:t>
    </w:r>
    <w:r w:rsidR="004B0AA5">
      <w:rPr>
        <w:rFonts w:cs="HelveticaNeueLT Std Cn"/>
        <w:sz w:val="14"/>
        <w:szCs w:val="14"/>
      </w:rPr>
      <w:t>5</w:t>
    </w:r>
    <w:r w:rsidR="0027121C" w:rsidRPr="0027121C">
      <w:rPr>
        <w:rFonts w:cs="HelveticaNeueLT Std Cn"/>
        <w:sz w:val="14"/>
        <w:szCs w:val="14"/>
      </w:rPr>
      <w:t xml:space="preserve"> Government of Alberta</w:t>
    </w:r>
    <w:r w:rsidR="003424DF" w:rsidRPr="003424DF">
      <w:rPr>
        <w:sz w:val="14"/>
        <w:szCs w:val="14"/>
      </w:rPr>
      <w:t xml:space="preserve"> </w:t>
    </w:r>
    <w:r w:rsidR="0027121C" w:rsidRPr="0027121C">
      <w:rPr>
        <w:rFonts w:cs="HelveticaNeueLT Std Cn"/>
        <w:sz w:val="14"/>
        <w:szCs w:val="14"/>
      </w:rPr>
      <w:t>|</w:t>
    </w:r>
    <w:r w:rsidR="003424DF">
      <w:rPr>
        <w:rFonts w:cs="HelveticaNeueLT Std Cn"/>
        <w:sz w:val="14"/>
        <w:szCs w:val="14"/>
      </w:rPr>
      <w:t xml:space="preserve"> </w:t>
    </w:r>
    <w:r w:rsidR="00336ADD">
      <w:rPr>
        <w:sz w:val="14"/>
        <w:szCs w:val="14"/>
      </w:rPr>
      <w:fldChar w:fldCharType="begin"/>
    </w:r>
    <w:r w:rsidR="00336ADD">
      <w:rPr>
        <w:sz w:val="14"/>
        <w:szCs w:val="14"/>
      </w:rPr>
      <w:instrText xml:space="preserve"> DATE \@ "MMMM d, yyyy" </w:instrText>
    </w:r>
    <w:r w:rsidR="00336ADD">
      <w:rPr>
        <w:sz w:val="14"/>
        <w:szCs w:val="14"/>
      </w:rPr>
      <w:fldChar w:fldCharType="separate"/>
    </w:r>
    <w:r w:rsidR="0061057E">
      <w:rPr>
        <w:noProof/>
        <w:sz w:val="14"/>
        <w:szCs w:val="14"/>
      </w:rPr>
      <w:t>January 5, 2026</w:t>
    </w:r>
    <w:r w:rsidR="00336ADD">
      <w:rPr>
        <w:sz w:val="14"/>
        <w:szCs w:val="14"/>
      </w:rPr>
      <w:fldChar w:fldCharType="end"/>
    </w:r>
    <w:r w:rsidR="003424DF">
      <w:rPr>
        <w:sz w:val="14"/>
        <w:szCs w:val="14"/>
      </w:rPr>
      <w:t xml:space="preserve"> </w:t>
    </w:r>
    <w:r w:rsidR="0027121C" w:rsidRPr="0027121C">
      <w:rPr>
        <w:rFonts w:cs="HelveticaNeueLT Std Cn"/>
        <w:sz w:val="14"/>
        <w:szCs w:val="14"/>
      </w:rPr>
      <w:t xml:space="preserve"> | </w:t>
    </w:r>
    <w:r w:rsidR="00F86986">
      <w:rPr>
        <w:rFonts w:cs="HelveticaNeueLT Std Cn"/>
        <w:sz w:val="14"/>
        <w:szCs w:val="14"/>
      </w:rPr>
      <w:t>Technology and Innovation</w:t>
    </w:r>
  </w:p>
  <w:p w14:paraId="3F9E1878" w14:textId="77777777"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1CC6" w14:textId="369A1AF7" w:rsidR="00112BDA" w:rsidRPr="00162B41" w:rsidRDefault="008A0E98" w:rsidP="00A22DB0">
    <w:pPr>
      <w:pStyle w:val="Calltoaction"/>
    </w:pPr>
    <w:r>
      <w:rPr>
        <w:noProof/>
        <w:lang w:val="en-CA" w:eastAsia="en-CA"/>
      </w:rPr>
      <mc:AlternateContent>
        <mc:Choice Requires="wps">
          <w:drawing>
            <wp:anchor distT="0" distB="0" distL="0" distR="0" simplePos="0" relativeHeight="251659265" behindDoc="0" locked="0" layoutInCell="1" allowOverlap="1" wp14:anchorId="51095929" wp14:editId="4E1C5445">
              <wp:simplePos x="635" y="635"/>
              <wp:positionH relativeFrom="page">
                <wp:align>left</wp:align>
              </wp:positionH>
              <wp:positionV relativeFrom="page">
                <wp:align>bottom</wp:align>
              </wp:positionV>
              <wp:extent cx="1407160" cy="361315"/>
              <wp:effectExtent l="0" t="0" r="2540" b="0"/>
              <wp:wrapNone/>
              <wp:docPr id="26878853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105C283" w14:textId="4503F37B" w:rsidR="008A0E98" w:rsidRPr="008A0E98" w:rsidRDefault="008A0E98" w:rsidP="008A0E98">
                          <w:pPr>
                            <w:spacing w:after="0"/>
                            <w:rPr>
                              <w:rFonts w:ascii="Calibri" w:eastAsia="Calibri" w:hAnsi="Calibri" w:cs="Calibri"/>
                              <w:noProof/>
                              <w:color w:val="000000"/>
                              <w:sz w:val="22"/>
                              <w:szCs w:val="22"/>
                            </w:rPr>
                          </w:pPr>
                          <w:r w:rsidRPr="008A0E98">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095929"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textbox style="mso-fit-shape-to-text:t" inset="20pt,0,0,15pt">
                <w:txbxContent>
                  <w:p w14:paraId="3105C283" w14:textId="4503F37B" w:rsidR="008A0E98" w:rsidRPr="008A0E98" w:rsidRDefault="008A0E98" w:rsidP="008A0E98">
                    <w:pPr>
                      <w:spacing w:after="0"/>
                      <w:rPr>
                        <w:rFonts w:ascii="Calibri" w:eastAsia="Calibri" w:hAnsi="Calibri" w:cs="Calibri"/>
                        <w:noProof/>
                        <w:color w:val="000000"/>
                        <w:sz w:val="22"/>
                        <w:szCs w:val="22"/>
                      </w:rPr>
                    </w:pPr>
                    <w:r w:rsidRPr="008A0E98">
                      <w:rPr>
                        <w:rFonts w:ascii="Calibri" w:eastAsia="Calibri" w:hAnsi="Calibri" w:cs="Calibri"/>
                        <w:noProof/>
                        <w:color w:val="000000"/>
                        <w:sz w:val="22"/>
                        <w:szCs w:val="22"/>
                      </w:rPr>
                      <w:t>Classification: Public</w:t>
                    </w:r>
                  </w:p>
                </w:txbxContent>
              </v:textbox>
              <w10:wrap anchorx="page" anchory="page"/>
            </v:shape>
          </w:pict>
        </mc:Fallback>
      </mc:AlternateContent>
    </w:r>
    <w:r w:rsidR="00162B41">
      <w:rPr>
        <w:noProof/>
        <w:lang w:val="en-CA" w:eastAsia="en-CA"/>
      </w:rPr>
      <w:drawing>
        <wp:anchor distT="0" distB="0" distL="114300" distR="114300" simplePos="0" relativeHeight="251658240" behindDoc="0" locked="0" layoutInCell="1" allowOverlap="1" wp14:anchorId="7422F8CE" wp14:editId="7CAFFE74">
          <wp:simplePos x="0" y="0"/>
          <wp:positionH relativeFrom="column">
            <wp:posOffset>5259705</wp:posOffset>
          </wp:positionH>
          <wp:positionV relativeFrom="page">
            <wp:posOffset>9462770</wp:posOffset>
          </wp:positionV>
          <wp:extent cx="1137920" cy="320040"/>
          <wp:effectExtent l="0" t="0" r="508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610BD3C9"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617C" w14:textId="77777777" w:rsidR="00523385" w:rsidRPr="001522A5" w:rsidRDefault="00523385" w:rsidP="00EB6203">
      <w:pPr>
        <w:pStyle w:val="Footer"/>
      </w:pPr>
      <w:r>
        <w:separator/>
      </w:r>
    </w:p>
  </w:footnote>
  <w:footnote w:type="continuationSeparator" w:id="0">
    <w:p w14:paraId="14152F31" w14:textId="77777777" w:rsidR="00523385" w:rsidRDefault="00523385" w:rsidP="00EB6203">
      <w:r>
        <w:continuationSeparator/>
      </w:r>
    </w:p>
  </w:footnote>
  <w:footnote w:type="continuationNotice" w:id="1">
    <w:p w14:paraId="649B585C" w14:textId="77777777" w:rsidR="00523385" w:rsidRDefault="00523385"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6FE"/>
    <w:multiLevelType w:val="hybridMultilevel"/>
    <w:tmpl w:val="00787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CB224E"/>
    <w:multiLevelType w:val="hybridMultilevel"/>
    <w:tmpl w:val="C874C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1475E2"/>
    <w:multiLevelType w:val="hybridMultilevel"/>
    <w:tmpl w:val="48B811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C67EEC"/>
    <w:multiLevelType w:val="hybridMultilevel"/>
    <w:tmpl w:val="D0FE2B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C464075"/>
    <w:multiLevelType w:val="hybridMultilevel"/>
    <w:tmpl w:val="042447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79B719A"/>
    <w:multiLevelType w:val="hybridMultilevel"/>
    <w:tmpl w:val="CDA6F6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A9E063B"/>
    <w:multiLevelType w:val="hybridMultilevel"/>
    <w:tmpl w:val="9A1A64D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9324EB"/>
    <w:multiLevelType w:val="hybridMultilevel"/>
    <w:tmpl w:val="F86010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FAB35C0"/>
    <w:multiLevelType w:val="hybridMultilevel"/>
    <w:tmpl w:val="6622A4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D55007A"/>
    <w:multiLevelType w:val="hybridMultilevel"/>
    <w:tmpl w:val="674A175C"/>
    <w:lvl w:ilvl="0" w:tplc="9F70371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9E778B"/>
    <w:multiLevelType w:val="hybridMultilevel"/>
    <w:tmpl w:val="E92A9F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F37F42"/>
    <w:multiLevelType w:val="hybridMultilevel"/>
    <w:tmpl w:val="C4C8A7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438091D"/>
    <w:multiLevelType w:val="hybridMultilevel"/>
    <w:tmpl w:val="19925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973506"/>
    <w:multiLevelType w:val="hybridMultilevel"/>
    <w:tmpl w:val="D52A4C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4AF3DB0"/>
    <w:multiLevelType w:val="hybridMultilevel"/>
    <w:tmpl w:val="76561B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75E1283"/>
    <w:multiLevelType w:val="hybridMultilevel"/>
    <w:tmpl w:val="3F64467A"/>
    <w:lvl w:ilvl="0" w:tplc="0ED690DC">
      <w:start w:val="1"/>
      <w:numFmt w:val="lowerLetter"/>
      <w:lvlText w:val="(%1)"/>
      <w:lvlJc w:val="left"/>
      <w:pPr>
        <w:ind w:left="360" w:hanging="360"/>
      </w:pPr>
      <w:rPr>
        <w:rFonts w:ascii="Arial" w:eastAsiaTheme="minorHAnsi" w:hAnsi="Arial" w:cs="Arial"/>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BD618B0"/>
    <w:multiLevelType w:val="hybridMultilevel"/>
    <w:tmpl w:val="829AAE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C5A62B9"/>
    <w:multiLevelType w:val="hybridMultilevel"/>
    <w:tmpl w:val="F1363F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59796748">
    <w:abstractNumId w:val="16"/>
  </w:num>
  <w:num w:numId="2" w16cid:durableId="1195851191">
    <w:abstractNumId w:val="10"/>
  </w:num>
  <w:num w:numId="3" w16cid:durableId="406535192">
    <w:abstractNumId w:val="16"/>
  </w:num>
  <w:num w:numId="4" w16cid:durableId="29457050">
    <w:abstractNumId w:val="10"/>
  </w:num>
  <w:num w:numId="5" w16cid:durableId="1442532968">
    <w:abstractNumId w:val="7"/>
  </w:num>
  <w:num w:numId="6" w16cid:durableId="1201551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475212">
    <w:abstractNumId w:val="7"/>
  </w:num>
  <w:num w:numId="8" w16cid:durableId="1433553965">
    <w:abstractNumId w:val="7"/>
  </w:num>
  <w:num w:numId="9" w16cid:durableId="1262563975">
    <w:abstractNumId w:val="11"/>
  </w:num>
  <w:num w:numId="10" w16cid:durableId="2058777673">
    <w:abstractNumId w:val="12"/>
  </w:num>
  <w:num w:numId="11" w16cid:durableId="1666669401">
    <w:abstractNumId w:val="17"/>
  </w:num>
  <w:num w:numId="12" w16cid:durableId="2086758435">
    <w:abstractNumId w:val="23"/>
  </w:num>
  <w:num w:numId="13" w16cid:durableId="383916594">
    <w:abstractNumId w:val="13"/>
  </w:num>
  <w:num w:numId="14" w16cid:durableId="1380276378">
    <w:abstractNumId w:val="19"/>
  </w:num>
  <w:num w:numId="15" w16cid:durableId="1933466784">
    <w:abstractNumId w:val="1"/>
  </w:num>
  <w:num w:numId="16" w16cid:durableId="1068305743">
    <w:abstractNumId w:val="5"/>
  </w:num>
  <w:num w:numId="17" w16cid:durableId="537013462">
    <w:abstractNumId w:val="8"/>
  </w:num>
  <w:num w:numId="18" w16cid:durableId="1237740238">
    <w:abstractNumId w:val="3"/>
  </w:num>
  <w:num w:numId="19" w16cid:durableId="1174109472">
    <w:abstractNumId w:val="0"/>
  </w:num>
  <w:num w:numId="20" w16cid:durableId="712771603">
    <w:abstractNumId w:val="21"/>
  </w:num>
  <w:num w:numId="21" w16cid:durableId="1118917753">
    <w:abstractNumId w:val="18"/>
  </w:num>
  <w:num w:numId="22" w16cid:durableId="748776208">
    <w:abstractNumId w:val="2"/>
  </w:num>
  <w:num w:numId="23" w16cid:durableId="1341664699">
    <w:abstractNumId w:val="4"/>
  </w:num>
  <w:num w:numId="24" w16cid:durableId="1743605357">
    <w:abstractNumId w:val="22"/>
  </w:num>
  <w:num w:numId="25" w16cid:durableId="356809427">
    <w:abstractNumId w:val="6"/>
  </w:num>
  <w:num w:numId="26" w16cid:durableId="1392777435">
    <w:abstractNumId w:val="15"/>
  </w:num>
  <w:num w:numId="27" w16cid:durableId="506482655">
    <w:abstractNumId w:val="20"/>
  </w:num>
  <w:num w:numId="28" w16cid:durableId="1795757226">
    <w:abstractNumId w:val="24"/>
  </w:num>
  <w:num w:numId="29" w16cid:durableId="2073887438">
    <w:abstractNumId w:val="9"/>
  </w:num>
  <w:num w:numId="30" w16cid:durableId="1352798311">
    <w:abstractNumId w:val="25"/>
  </w:num>
  <w:num w:numId="31" w16cid:durableId="1785810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24EB"/>
    <w:rsid w:val="00003FF6"/>
    <w:rsid w:val="00007082"/>
    <w:rsid w:val="000077B8"/>
    <w:rsid w:val="0001064D"/>
    <w:rsid w:val="00014124"/>
    <w:rsid w:val="0001529C"/>
    <w:rsid w:val="000159F0"/>
    <w:rsid w:val="000161F1"/>
    <w:rsid w:val="00022666"/>
    <w:rsid w:val="00026D19"/>
    <w:rsid w:val="00030EB0"/>
    <w:rsid w:val="00032550"/>
    <w:rsid w:val="00034E66"/>
    <w:rsid w:val="0003619B"/>
    <w:rsid w:val="00036FF5"/>
    <w:rsid w:val="00037735"/>
    <w:rsid w:val="00037E9C"/>
    <w:rsid w:val="00041C68"/>
    <w:rsid w:val="00045542"/>
    <w:rsid w:val="0005103F"/>
    <w:rsid w:val="0005125B"/>
    <w:rsid w:val="000521CF"/>
    <w:rsid w:val="00052C04"/>
    <w:rsid w:val="00053DCC"/>
    <w:rsid w:val="00057D63"/>
    <w:rsid w:val="00057FD6"/>
    <w:rsid w:val="0006038C"/>
    <w:rsid w:val="000609FE"/>
    <w:rsid w:val="00061744"/>
    <w:rsid w:val="00065EC4"/>
    <w:rsid w:val="00071770"/>
    <w:rsid w:val="00072225"/>
    <w:rsid w:val="00073940"/>
    <w:rsid w:val="00077D42"/>
    <w:rsid w:val="000817AF"/>
    <w:rsid w:val="00082217"/>
    <w:rsid w:val="00083B9E"/>
    <w:rsid w:val="00085637"/>
    <w:rsid w:val="00087209"/>
    <w:rsid w:val="0009373E"/>
    <w:rsid w:val="000943D7"/>
    <w:rsid w:val="0009473B"/>
    <w:rsid w:val="00097C5C"/>
    <w:rsid w:val="000A0261"/>
    <w:rsid w:val="000A22C3"/>
    <w:rsid w:val="000A692B"/>
    <w:rsid w:val="000A6EB5"/>
    <w:rsid w:val="000A6FF8"/>
    <w:rsid w:val="000B4F89"/>
    <w:rsid w:val="000B5A77"/>
    <w:rsid w:val="000B6DE1"/>
    <w:rsid w:val="000C038F"/>
    <w:rsid w:val="000C113E"/>
    <w:rsid w:val="000C253F"/>
    <w:rsid w:val="000C7DC7"/>
    <w:rsid w:val="000D4653"/>
    <w:rsid w:val="000D4B5E"/>
    <w:rsid w:val="000D6088"/>
    <w:rsid w:val="000D6F31"/>
    <w:rsid w:val="000E040B"/>
    <w:rsid w:val="000E131C"/>
    <w:rsid w:val="000E1640"/>
    <w:rsid w:val="000E2F25"/>
    <w:rsid w:val="000E7129"/>
    <w:rsid w:val="000E7A84"/>
    <w:rsid w:val="000F02D8"/>
    <w:rsid w:val="000F0C19"/>
    <w:rsid w:val="000F0D1F"/>
    <w:rsid w:val="000F0E3D"/>
    <w:rsid w:val="000F1805"/>
    <w:rsid w:val="000F1D75"/>
    <w:rsid w:val="000F2588"/>
    <w:rsid w:val="000F35B6"/>
    <w:rsid w:val="000F3CB2"/>
    <w:rsid w:val="000F6312"/>
    <w:rsid w:val="000F64E5"/>
    <w:rsid w:val="000F69CB"/>
    <w:rsid w:val="000F6DBA"/>
    <w:rsid w:val="00100D35"/>
    <w:rsid w:val="00101D1A"/>
    <w:rsid w:val="001059EC"/>
    <w:rsid w:val="00111263"/>
    <w:rsid w:val="00111BEF"/>
    <w:rsid w:val="00112BDA"/>
    <w:rsid w:val="00115B39"/>
    <w:rsid w:val="001226B5"/>
    <w:rsid w:val="00127E70"/>
    <w:rsid w:val="00132E08"/>
    <w:rsid w:val="00135AE1"/>
    <w:rsid w:val="0014051C"/>
    <w:rsid w:val="00142CA0"/>
    <w:rsid w:val="001449E8"/>
    <w:rsid w:val="00144F3F"/>
    <w:rsid w:val="0014560F"/>
    <w:rsid w:val="00145AF3"/>
    <w:rsid w:val="00146601"/>
    <w:rsid w:val="00146FA9"/>
    <w:rsid w:val="0014797E"/>
    <w:rsid w:val="001502BE"/>
    <w:rsid w:val="00150EAD"/>
    <w:rsid w:val="00151369"/>
    <w:rsid w:val="001521F3"/>
    <w:rsid w:val="001522A5"/>
    <w:rsid w:val="001550D4"/>
    <w:rsid w:val="00156DBA"/>
    <w:rsid w:val="00157395"/>
    <w:rsid w:val="00157FDE"/>
    <w:rsid w:val="00161F54"/>
    <w:rsid w:val="001628E7"/>
    <w:rsid w:val="00162B41"/>
    <w:rsid w:val="001665CA"/>
    <w:rsid w:val="0016668A"/>
    <w:rsid w:val="0016687C"/>
    <w:rsid w:val="00172B32"/>
    <w:rsid w:val="00176A32"/>
    <w:rsid w:val="00180AB6"/>
    <w:rsid w:val="00180EA6"/>
    <w:rsid w:val="0018335A"/>
    <w:rsid w:val="001839AD"/>
    <w:rsid w:val="001839D0"/>
    <w:rsid w:val="00185A9B"/>
    <w:rsid w:val="00187411"/>
    <w:rsid w:val="00190D81"/>
    <w:rsid w:val="0019772D"/>
    <w:rsid w:val="001A0B0D"/>
    <w:rsid w:val="001A1F3C"/>
    <w:rsid w:val="001A3C0E"/>
    <w:rsid w:val="001A7D6C"/>
    <w:rsid w:val="001B7972"/>
    <w:rsid w:val="001C0114"/>
    <w:rsid w:val="001C1D6F"/>
    <w:rsid w:val="001C2227"/>
    <w:rsid w:val="001C7512"/>
    <w:rsid w:val="001D0533"/>
    <w:rsid w:val="001D1980"/>
    <w:rsid w:val="001D34E7"/>
    <w:rsid w:val="001D6285"/>
    <w:rsid w:val="001D66F3"/>
    <w:rsid w:val="001E0089"/>
    <w:rsid w:val="001E2DF9"/>
    <w:rsid w:val="001E41B8"/>
    <w:rsid w:val="001E4F34"/>
    <w:rsid w:val="001E532D"/>
    <w:rsid w:val="001E540F"/>
    <w:rsid w:val="001E560C"/>
    <w:rsid w:val="001E7762"/>
    <w:rsid w:val="001F502E"/>
    <w:rsid w:val="00202024"/>
    <w:rsid w:val="00203AEF"/>
    <w:rsid w:val="00203D75"/>
    <w:rsid w:val="00204667"/>
    <w:rsid w:val="002060E0"/>
    <w:rsid w:val="00207DC7"/>
    <w:rsid w:val="00207F82"/>
    <w:rsid w:val="002112F3"/>
    <w:rsid w:val="002115CE"/>
    <w:rsid w:val="002117FA"/>
    <w:rsid w:val="002151A3"/>
    <w:rsid w:val="00215CD8"/>
    <w:rsid w:val="00217EF1"/>
    <w:rsid w:val="0022119A"/>
    <w:rsid w:val="002219FB"/>
    <w:rsid w:val="002242F5"/>
    <w:rsid w:val="00224A17"/>
    <w:rsid w:val="00225B11"/>
    <w:rsid w:val="00225CE5"/>
    <w:rsid w:val="002276FD"/>
    <w:rsid w:val="002303B9"/>
    <w:rsid w:val="00231223"/>
    <w:rsid w:val="00232274"/>
    <w:rsid w:val="0024057D"/>
    <w:rsid w:val="00240E34"/>
    <w:rsid w:val="00241A38"/>
    <w:rsid w:val="0024386B"/>
    <w:rsid w:val="00244AF0"/>
    <w:rsid w:val="00246B51"/>
    <w:rsid w:val="0024734A"/>
    <w:rsid w:val="00247BDF"/>
    <w:rsid w:val="00254E57"/>
    <w:rsid w:val="0025644F"/>
    <w:rsid w:val="00260DD9"/>
    <w:rsid w:val="00261BA5"/>
    <w:rsid w:val="00265806"/>
    <w:rsid w:val="00267887"/>
    <w:rsid w:val="002700E9"/>
    <w:rsid w:val="0027121C"/>
    <w:rsid w:val="00271EF7"/>
    <w:rsid w:val="00274F75"/>
    <w:rsid w:val="00277E80"/>
    <w:rsid w:val="00281AF7"/>
    <w:rsid w:val="002835FE"/>
    <w:rsid w:val="002839B2"/>
    <w:rsid w:val="0028527A"/>
    <w:rsid w:val="00286135"/>
    <w:rsid w:val="00286E67"/>
    <w:rsid w:val="00287659"/>
    <w:rsid w:val="002911FB"/>
    <w:rsid w:val="002912A4"/>
    <w:rsid w:val="002A1A5B"/>
    <w:rsid w:val="002A3DB1"/>
    <w:rsid w:val="002A5227"/>
    <w:rsid w:val="002B29CE"/>
    <w:rsid w:val="002B2F05"/>
    <w:rsid w:val="002B492A"/>
    <w:rsid w:val="002B7CA5"/>
    <w:rsid w:val="002C1C90"/>
    <w:rsid w:val="002C20E6"/>
    <w:rsid w:val="002C3B98"/>
    <w:rsid w:val="002C4EB5"/>
    <w:rsid w:val="002D1599"/>
    <w:rsid w:val="002D1B0E"/>
    <w:rsid w:val="002D2959"/>
    <w:rsid w:val="002D5C7D"/>
    <w:rsid w:val="002E0171"/>
    <w:rsid w:val="002E462E"/>
    <w:rsid w:val="002E693B"/>
    <w:rsid w:val="002F007C"/>
    <w:rsid w:val="002F21D6"/>
    <w:rsid w:val="002F6115"/>
    <w:rsid w:val="00301706"/>
    <w:rsid w:val="003026A0"/>
    <w:rsid w:val="00305DA9"/>
    <w:rsid w:val="0030653D"/>
    <w:rsid w:val="00312B81"/>
    <w:rsid w:val="003133A3"/>
    <w:rsid w:val="00315960"/>
    <w:rsid w:val="00321CCA"/>
    <w:rsid w:val="003227A8"/>
    <w:rsid w:val="00323AC4"/>
    <w:rsid w:val="0032467A"/>
    <w:rsid w:val="003251B5"/>
    <w:rsid w:val="00325862"/>
    <w:rsid w:val="00330881"/>
    <w:rsid w:val="00336ADD"/>
    <w:rsid w:val="00340128"/>
    <w:rsid w:val="00341CCD"/>
    <w:rsid w:val="003424DF"/>
    <w:rsid w:val="00342C33"/>
    <w:rsid w:val="0034421A"/>
    <w:rsid w:val="003446C5"/>
    <w:rsid w:val="003465C6"/>
    <w:rsid w:val="00347F10"/>
    <w:rsid w:val="003523A9"/>
    <w:rsid w:val="00352871"/>
    <w:rsid w:val="003578C0"/>
    <w:rsid w:val="003639AD"/>
    <w:rsid w:val="00365388"/>
    <w:rsid w:val="00370D2B"/>
    <w:rsid w:val="003713EC"/>
    <w:rsid w:val="00373235"/>
    <w:rsid w:val="003746D1"/>
    <w:rsid w:val="00377460"/>
    <w:rsid w:val="00377F6E"/>
    <w:rsid w:val="00380822"/>
    <w:rsid w:val="0038094C"/>
    <w:rsid w:val="00381486"/>
    <w:rsid w:val="00382A03"/>
    <w:rsid w:val="00383AF2"/>
    <w:rsid w:val="00383C65"/>
    <w:rsid w:val="00386D95"/>
    <w:rsid w:val="003914CC"/>
    <w:rsid w:val="00393F56"/>
    <w:rsid w:val="00394132"/>
    <w:rsid w:val="00397112"/>
    <w:rsid w:val="003A3D3B"/>
    <w:rsid w:val="003A3DE9"/>
    <w:rsid w:val="003B18EA"/>
    <w:rsid w:val="003B2194"/>
    <w:rsid w:val="003B294D"/>
    <w:rsid w:val="003B3B47"/>
    <w:rsid w:val="003B4657"/>
    <w:rsid w:val="003C0967"/>
    <w:rsid w:val="003C1E12"/>
    <w:rsid w:val="003C3DF9"/>
    <w:rsid w:val="003C428D"/>
    <w:rsid w:val="003C5006"/>
    <w:rsid w:val="003D2E88"/>
    <w:rsid w:val="003D5083"/>
    <w:rsid w:val="003D5741"/>
    <w:rsid w:val="003D6284"/>
    <w:rsid w:val="003D6957"/>
    <w:rsid w:val="003E2363"/>
    <w:rsid w:val="003E2D33"/>
    <w:rsid w:val="003E355F"/>
    <w:rsid w:val="003E4BBA"/>
    <w:rsid w:val="003E5753"/>
    <w:rsid w:val="003E5806"/>
    <w:rsid w:val="003F0758"/>
    <w:rsid w:val="003F348D"/>
    <w:rsid w:val="003F3611"/>
    <w:rsid w:val="003F4B35"/>
    <w:rsid w:val="003F51FA"/>
    <w:rsid w:val="004012CB"/>
    <w:rsid w:val="00402968"/>
    <w:rsid w:val="00402F42"/>
    <w:rsid w:val="00410643"/>
    <w:rsid w:val="004112E7"/>
    <w:rsid w:val="00411BDD"/>
    <w:rsid w:val="00411D58"/>
    <w:rsid w:val="00413C8D"/>
    <w:rsid w:val="004157E3"/>
    <w:rsid w:val="00415901"/>
    <w:rsid w:val="00415946"/>
    <w:rsid w:val="004160ED"/>
    <w:rsid w:val="00416604"/>
    <w:rsid w:val="00416FBB"/>
    <w:rsid w:val="0042286B"/>
    <w:rsid w:val="004237F1"/>
    <w:rsid w:val="00423DBF"/>
    <w:rsid w:val="0042572B"/>
    <w:rsid w:val="00425A7E"/>
    <w:rsid w:val="0043199B"/>
    <w:rsid w:val="00432376"/>
    <w:rsid w:val="004353B9"/>
    <w:rsid w:val="00440C96"/>
    <w:rsid w:val="00440CD1"/>
    <w:rsid w:val="00441335"/>
    <w:rsid w:val="00441888"/>
    <w:rsid w:val="00442D31"/>
    <w:rsid w:val="004468FC"/>
    <w:rsid w:val="0044787E"/>
    <w:rsid w:val="00447919"/>
    <w:rsid w:val="0045264F"/>
    <w:rsid w:val="00454287"/>
    <w:rsid w:val="00455371"/>
    <w:rsid w:val="0046055E"/>
    <w:rsid w:val="004609E6"/>
    <w:rsid w:val="00460F63"/>
    <w:rsid w:val="00461D5D"/>
    <w:rsid w:val="00462F06"/>
    <w:rsid w:val="00463783"/>
    <w:rsid w:val="004637BF"/>
    <w:rsid w:val="00463EEB"/>
    <w:rsid w:val="00466B5D"/>
    <w:rsid w:val="0046706A"/>
    <w:rsid w:val="00470D6C"/>
    <w:rsid w:val="00471543"/>
    <w:rsid w:val="0047379E"/>
    <w:rsid w:val="0047576F"/>
    <w:rsid w:val="00477F16"/>
    <w:rsid w:val="004812B3"/>
    <w:rsid w:val="0048326B"/>
    <w:rsid w:val="00483777"/>
    <w:rsid w:val="004839E3"/>
    <w:rsid w:val="0048452E"/>
    <w:rsid w:val="004845AF"/>
    <w:rsid w:val="00492072"/>
    <w:rsid w:val="00492DB7"/>
    <w:rsid w:val="00493C6E"/>
    <w:rsid w:val="00497BAE"/>
    <w:rsid w:val="00497EC8"/>
    <w:rsid w:val="004A11AD"/>
    <w:rsid w:val="004A2C79"/>
    <w:rsid w:val="004A3F7B"/>
    <w:rsid w:val="004A40FF"/>
    <w:rsid w:val="004A5959"/>
    <w:rsid w:val="004A5BE0"/>
    <w:rsid w:val="004A7CB1"/>
    <w:rsid w:val="004A7DF6"/>
    <w:rsid w:val="004B014F"/>
    <w:rsid w:val="004B0AA5"/>
    <w:rsid w:val="004B1E8C"/>
    <w:rsid w:val="004B36FB"/>
    <w:rsid w:val="004C2487"/>
    <w:rsid w:val="004C3CFD"/>
    <w:rsid w:val="004C44FC"/>
    <w:rsid w:val="004C4DD5"/>
    <w:rsid w:val="004D0CB9"/>
    <w:rsid w:val="004D0D98"/>
    <w:rsid w:val="004D2FCF"/>
    <w:rsid w:val="004D37D6"/>
    <w:rsid w:val="004D7D9B"/>
    <w:rsid w:val="004E0E3F"/>
    <w:rsid w:val="004E216C"/>
    <w:rsid w:val="004E3B18"/>
    <w:rsid w:val="004E3CEC"/>
    <w:rsid w:val="004E4EC2"/>
    <w:rsid w:val="004E6F54"/>
    <w:rsid w:val="004F2C74"/>
    <w:rsid w:val="004F5535"/>
    <w:rsid w:val="004F5FE6"/>
    <w:rsid w:val="004F696B"/>
    <w:rsid w:val="00502E8D"/>
    <w:rsid w:val="005045C7"/>
    <w:rsid w:val="00505A8E"/>
    <w:rsid w:val="00505CBE"/>
    <w:rsid w:val="00507256"/>
    <w:rsid w:val="00507F3B"/>
    <w:rsid w:val="00511501"/>
    <w:rsid w:val="00511897"/>
    <w:rsid w:val="0051255F"/>
    <w:rsid w:val="00513FBD"/>
    <w:rsid w:val="0051596A"/>
    <w:rsid w:val="005160C3"/>
    <w:rsid w:val="00516523"/>
    <w:rsid w:val="005168C3"/>
    <w:rsid w:val="005174E3"/>
    <w:rsid w:val="00517A4F"/>
    <w:rsid w:val="00517B40"/>
    <w:rsid w:val="00517F30"/>
    <w:rsid w:val="00523385"/>
    <w:rsid w:val="005256D6"/>
    <w:rsid w:val="00530081"/>
    <w:rsid w:val="00531245"/>
    <w:rsid w:val="005369AB"/>
    <w:rsid w:val="005373D5"/>
    <w:rsid w:val="00540029"/>
    <w:rsid w:val="00541F41"/>
    <w:rsid w:val="00546712"/>
    <w:rsid w:val="00547B8D"/>
    <w:rsid w:val="00551ACB"/>
    <w:rsid w:val="0055409E"/>
    <w:rsid w:val="00554636"/>
    <w:rsid w:val="00556EED"/>
    <w:rsid w:val="005572F3"/>
    <w:rsid w:val="00562883"/>
    <w:rsid w:val="0056289B"/>
    <w:rsid w:val="00562C58"/>
    <w:rsid w:val="00562DF2"/>
    <w:rsid w:val="00563BE9"/>
    <w:rsid w:val="00564667"/>
    <w:rsid w:val="0056670F"/>
    <w:rsid w:val="005708D7"/>
    <w:rsid w:val="00571728"/>
    <w:rsid w:val="00571892"/>
    <w:rsid w:val="005728D0"/>
    <w:rsid w:val="00572D62"/>
    <w:rsid w:val="00573982"/>
    <w:rsid w:val="00575488"/>
    <w:rsid w:val="0057676E"/>
    <w:rsid w:val="00582A52"/>
    <w:rsid w:val="00586D07"/>
    <w:rsid w:val="00587CC3"/>
    <w:rsid w:val="005902FB"/>
    <w:rsid w:val="00592750"/>
    <w:rsid w:val="00592DFD"/>
    <w:rsid w:val="005939F0"/>
    <w:rsid w:val="00595C14"/>
    <w:rsid w:val="00596876"/>
    <w:rsid w:val="005974F7"/>
    <w:rsid w:val="00597D96"/>
    <w:rsid w:val="005A12C7"/>
    <w:rsid w:val="005A1541"/>
    <w:rsid w:val="005A5DB3"/>
    <w:rsid w:val="005A717D"/>
    <w:rsid w:val="005B04B8"/>
    <w:rsid w:val="005B0A7E"/>
    <w:rsid w:val="005B24C6"/>
    <w:rsid w:val="005B3211"/>
    <w:rsid w:val="005B3D68"/>
    <w:rsid w:val="005B4D9B"/>
    <w:rsid w:val="005B4F16"/>
    <w:rsid w:val="005B596D"/>
    <w:rsid w:val="005C1051"/>
    <w:rsid w:val="005C2072"/>
    <w:rsid w:val="005C20CC"/>
    <w:rsid w:val="005C31EC"/>
    <w:rsid w:val="005C382B"/>
    <w:rsid w:val="005C5F2B"/>
    <w:rsid w:val="005D2C88"/>
    <w:rsid w:val="005D40C0"/>
    <w:rsid w:val="005D4274"/>
    <w:rsid w:val="005D4EB2"/>
    <w:rsid w:val="005D75D3"/>
    <w:rsid w:val="005E1EE9"/>
    <w:rsid w:val="005E548A"/>
    <w:rsid w:val="005E5ED3"/>
    <w:rsid w:val="005E6376"/>
    <w:rsid w:val="005E66D8"/>
    <w:rsid w:val="005E6BEF"/>
    <w:rsid w:val="005F22D7"/>
    <w:rsid w:val="005F4C3F"/>
    <w:rsid w:val="005F7DA2"/>
    <w:rsid w:val="00602760"/>
    <w:rsid w:val="006030C5"/>
    <w:rsid w:val="00603EEB"/>
    <w:rsid w:val="00607564"/>
    <w:rsid w:val="0061057E"/>
    <w:rsid w:val="00610CCA"/>
    <w:rsid w:val="00611793"/>
    <w:rsid w:val="006173DC"/>
    <w:rsid w:val="0061768A"/>
    <w:rsid w:val="00621AD7"/>
    <w:rsid w:val="0062325B"/>
    <w:rsid w:val="00627525"/>
    <w:rsid w:val="00630172"/>
    <w:rsid w:val="00630E3C"/>
    <w:rsid w:val="00631D83"/>
    <w:rsid w:val="00631E71"/>
    <w:rsid w:val="00631FB7"/>
    <w:rsid w:val="00633288"/>
    <w:rsid w:val="00636A9C"/>
    <w:rsid w:val="00640582"/>
    <w:rsid w:val="00640D9E"/>
    <w:rsid w:val="00642C97"/>
    <w:rsid w:val="00644DC3"/>
    <w:rsid w:val="00645BF6"/>
    <w:rsid w:val="0064779C"/>
    <w:rsid w:val="006500D1"/>
    <w:rsid w:val="006519E3"/>
    <w:rsid w:val="00651F48"/>
    <w:rsid w:val="00652ABA"/>
    <w:rsid w:val="00654ECF"/>
    <w:rsid w:val="006553BE"/>
    <w:rsid w:val="00660C81"/>
    <w:rsid w:val="00662516"/>
    <w:rsid w:val="00667D01"/>
    <w:rsid w:val="00667D15"/>
    <w:rsid w:val="00670261"/>
    <w:rsid w:val="00670290"/>
    <w:rsid w:val="006718B4"/>
    <w:rsid w:val="00672933"/>
    <w:rsid w:val="006748CD"/>
    <w:rsid w:val="00675912"/>
    <w:rsid w:val="00677371"/>
    <w:rsid w:val="006847DC"/>
    <w:rsid w:val="00685311"/>
    <w:rsid w:val="00685AE2"/>
    <w:rsid w:val="00685B45"/>
    <w:rsid w:val="00687696"/>
    <w:rsid w:val="00690E63"/>
    <w:rsid w:val="00692783"/>
    <w:rsid w:val="00693830"/>
    <w:rsid w:val="00695019"/>
    <w:rsid w:val="00695A9D"/>
    <w:rsid w:val="00697866"/>
    <w:rsid w:val="006A11CB"/>
    <w:rsid w:val="006A38C3"/>
    <w:rsid w:val="006A4A70"/>
    <w:rsid w:val="006A6E30"/>
    <w:rsid w:val="006B1E44"/>
    <w:rsid w:val="006B235E"/>
    <w:rsid w:val="006B6579"/>
    <w:rsid w:val="006B67DE"/>
    <w:rsid w:val="006C1772"/>
    <w:rsid w:val="006C431C"/>
    <w:rsid w:val="006C5A16"/>
    <w:rsid w:val="006C68DE"/>
    <w:rsid w:val="006C6A90"/>
    <w:rsid w:val="006D0B06"/>
    <w:rsid w:val="006D561B"/>
    <w:rsid w:val="006D6023"/>
    <w:rsid w:val="006D6059"/>
    <w:rsid w:val="006D67BA"/>
    <w:rsid w:val="006D6CF2"/>
    <w:rsid w:val="006D78D3"/>
    <w:rsid w:val="006E0CB3"/>
    <w:rsid w:val="006E5BE4"/>
    <w:rsid w:val="006E6DD1"/>
    <w:rsid w:val="006F02A9"/>
    <w:rsid w:val="006F0781"/>
    <w:rsid w:val="006F136E"/>
    <w:rsid w:val="006F2119"/>
    <w:rsid w:val="006F59D8"/>
    <w:rsid w:val="006F5A4A"/>
    <w:rsid w:val="006F5D79"/>
    <w:rsid w:val="007010BE"/>
    <w:rsid w:val="007026ED"/>
    <w:rsid w:val="007041FE"/>
    <w:rsid w:val="00704274"/>
    <w:rsid w:val="007043C5"/>
    <w:rsid w:val="007064B4"/>
    <w:rsid w:val="0071155F"/>
    <w:rsid w:val="00711CA9"/>
    <w:rsid w:val="00714BD6"/>
    <w:rsid w:val="00715853"/>
    <w:rsid w:val="00721C04"/>
    <w:rsid w:val="00721E59"/>
    <w:rsid w:val="0072251A"/>
    <w:rsid w:val="00724747"/>
    <w:rsid w:val="00726386"/>
    <w:rsid w:val="00727AAE"/>
    <w:rsid w:val="00730833"/>
    <w:rsid w:val="0073128E"/>
    <w:rsid w:val="00733D10"/>
    <w:rsid w:val="007347EB"/>
    <w:rsid w:val="00735400"/>
    <w:rsid w:val="007418D7"/>
    <w:rsid w:val="00743487"/>
    <w:rsid w:val="00744424"/>
    <w:rsid w:val="00745530"/>
    <w:rsid w:val="007465CB"/>
    <w:rsid w:val="0074798B"/>
    <w:rsid w:val="00747C74"/>
    <w:rsid w:val="00755C2A"/>
    <w:rsid w:val="00757BF2"/>
    <w:rsid w:val="007615B6"/>
    <w:rsid w:val="007636D0"/>
    <w:rsid w:val="00764D2D"/>
    <w:rsid w:val="00766DD3"/>
    <w:rsid w:val="00766E4E"/>
    <w:rsid w:val="00767155"/>
    <w:rsid w:val="00775F7D"/>
    <w:rsid w:val="00776D2C"/>
    <w:rsid w:val="0078016A"/>
    <w:rsid w:val="00782A77"/>
    <w:rsid w:val="007914E7"/>
    <w:rsid w:val="00793C0C"/>
    <w:rsid w:val="00793DDA"/>
    <w:rsid w:val="00797E69"/>
    <w:rsid w:val="007A015E"/>
    <w:rsid w:val="007A08B5"/>
    <w:rsid w:val="007A1CB1"/>
    <w:rsid w:val="007A34EC"/>
    <w:rsid w:val="007A695B"/>
    <w:rsid w:val="007A6A49"/>
    <w:rsid w:val="007B2EFF"/>
    <w:rsid w:val="007B321B"/>
    <w:rsid w:val="007B540A"/>
    <w:rsid w:val="007B556D"/>
    <w:rsid w:val="007C373C"/>
    <w:rsid w:val="007C3C43"/>
    <w:rsid w:val="007C592B"/>
    <w:rsid w:val="007C5A57"/>
    <w:rsid w:val="007C62D7"/>
    <w:rsid w:val="007D0E54"/>
    <w:rsid w:val="007D2CCF"/>
    <w:rsid w:val="007D379D"/>
    <w:rsid w:val="007D5ABB"/>
    <w:rsid w:val="007D67AB"/>
    <w:rsid w:val="007D7A62"/>
    <w:rsid w:val="007E3D7D"/>
    <w:rsid w:val="007E402A"/>
    <w:rsid w:val="007E6398"/>
    <w:rsid w:val="007F0670"/>
    <w:rsid w:val="007F0720"/>
    <w:rsid w:val="007F35A0"/>
    <w:rsid w:val="00801DAF"/>
    <w:rsid w:val="00804A0A"/>
    <w:rsid w:val="0080502F"/>
    <w:rsid w:val="00806B31"/>
    <w:rsid w:val="00817149"/>
    <w:rsid w:val="00817522"/>
    <w:rsid w:val="0081777C"/>
    <w:rsid w:val="00826C01"/>
    <w:rsid w:val="008274A1"/>
    <w:rsid w:val="00827520"/>
    <w:rsid w:val="0082767A"/>
    <w:rsid w:val="00827A14"/>
    <w:rsid w:val="008309B1"/>
    <w:rsid w:val="00832A21"/>
    <w:rsid w:val="00833AC6"/>
    <w:rsid w:val="00835009"/>
    <w:rsid w:val="0083513A"/>
    <w:rsid w:val="00836DC2"/>
    <w:rsid w:val="0083709E"/>
    <w:rsid w:val="0084307F"/>
    <w:rsid w:val="00843127"/>
    <w:rsid w:val="0084341B"/>
    <w:rsid w:val="00843A64"/>
    <w:rsid w:val="0084412B"/>
    <w:rsid w:val="008448DD"/>
    <w:rsid w:val="00852132"/>
    <w:rsid w:val="008608EB"/>
    <w:rsid w:val="00861CE8"/>
    <w:rsid w:val="00863681"/>
    <w:rsid w:val="00865D9E"/>
    <w:rsid w:val="00866909"/>
    <w:rsid w:val="00871BA3"/>
    <w:rsid w:val="00880B87"/>
    <w:rsid w:val="00881566"/>
    <w:rsid w:val="008838F6"/>
    <w:rsid w:val="00883A37"/>
    <w:rsid w:val="00883DEB"/>
    <w:rsid w:val="00884955"/>
    <w:rsid w:val="00884C42"/>
    <w:rsid w:val="00887781"/>
    <w:rsid w:val="00891FA7"/>
    <w:rsid w:val="008927E5"/>
    <w:rsid w:val="008931EB"/>
    <w:rsid w:val="0089554D"/>
    <w:rsid w:val="008A0E98"/>
    <w:rsid w:val="008A135A"/>
    <w:rsid w:val="008A56C8"/>
    <w:rsid w:val="008A7B75"/>
    <w:rsid w:val="008B06DA"/>
    <w:rsid w:val="008B2730"/>
    <w:rsid w:val="008B3277"/>
    <w:rsid w:val="008B36E6"/>
    <w:rsid w:val="008C03FE"/>
    <w:rsid w:val="008C17DC"/>
    <w:rsid w:val="008C1F87"/>
    <w:rsid w:val="008C2365"/>
    <w:rsid w:val="008C330F"/>
    <w:rsid w:val="008C6A7B"/>
    <w:rsid w:val="008D04A2"/>
    <w:rsid w:val="008D0BA1"/>
    <w:rsid w:val="008D14AA"/>
    <w:rsid w:val="008D1E39"/>
    <w:rsid w:val="008D29D0"/>
    <w:rsid w:val="008D4105"/>
    <w:rsid w:val="008D4C5B"/>
    <w:rsid w:val="008D4F67"/>
    <w:rsid w:val="008D57EE"/>
    <w:rsid w:val="008D65C3"/>
    <w:rsid w:val="008D7529"/>
    <w:rsid w:val="008E0D93"/>
    <w:rsid w:val="008E211D"/>
    <w:rsid w:val="008E48DA"/>
    <w:rsid w:val="008E6EEF"/>
    <w:rsid w:val="008F0850"/>
    <w:rsid w:val="008F0E9C"/>
    <w:rsid w:val="008F157D"/>
    <w:rsid w:val="008F283B"/>
    <w:rsid w:val="008F2DCE"/>
    <w:rsid w:val="00900C04"/>
    <w:rsid w:val="0090109B"/>
    <w:rsid w:val="00901420"/>
    <w:rsid w:val="00901580"/>
    <w:rsid w:val="009022EA"/>
    <w:rsid w:val="00907929"/>
    <w:rsid w:val="00910EEF"/>
    <w:rsid w:val="00911008"/>
    <w:rsid w:val="00911F21"/>
    <w:rsid w:val="009129B3"/>
    <w:rsid w:val="00914A33"/>
    <w:rsid w:val="009201DF"/>
    <w:rsid w:val="009337A3"/>
    <w:rsid w:val="00933BE7"/>
    <w:rsid w:val="00935902"/>
    <w:rsid w:val="009367AB"/>
    <w:rsid w:val="00937074"/>
    <w:rsid w:val="00940531"/>
    <w:rsid w:val="00941286"/>
    <w:rsid w:val="009440B9"/>
    <w:rsid w:val="00944C4F"/>
    <w:rsid w:val="00945C32"/>
    <w:rsid w:val="0095595B"/>
    <w:rsid w:val="00955DF1"/>
    <w:rsid w:val="0095646E"/>
    <w:rsid w:val="009569E7"/>
    <w:rsid w:val="00960AA8"/>
    <w:rsid w:val="00961255"/>
    <w:rsid w:val="009615B2"/>
    <w:rsid w:val="0096395A"/>
    <w:rsid w:val="00966032"/>
    <w:rsid w:val="00966CE6"/>
    <w:rsid w:val="0097483E"/>
    <w:rsid w:val="009767DA"/>
    <w:rsid w:val="009768F5"/>
    <w:rsid w:val="00980216"/>
    <w:rsid w:val="009803F7"/>
    <w:rsid w:val="00981960"/>
    <w:rsid w:val="00982190"/>
    <w:rsid w:val="00982BAF"/>
    <w:rsid w:val="009878BC"/>
    <w:rsid w:val="00990BB7"/>
    <w:rsid w:val="009934E1"/>
    <w:rsid w:val="00993E52"/>
    <w:rsid w:val="00995785"/>
    <w:rsid w:val="009973E2"/>
    <w:rsid w:val="0099748B"/>
    <w:rsid w:val="0099759F"/>
    <w:rsid w:val="009A1D45"/>
    <w:rsid w:val="009A2795"/>
    <w:rsid w:val="009A49FF"/>
    <w:rsid w:val="009A537C"/>
    <w:rsid w:val="009A68E3"/>
    <w:rsid w:val="009B0F33"/>
    <w:rsid w:val="009C21D3"/>
    <w:rsid w:val="009D0424"/>
    <w:rsid w:val="009D047A"/>
    <w:rsid w:val="009D1D8F"/>
    <w:rsid w:val="009D67EB"/>
    <w:rsid w:val="009E2435"/>
    <w:rsid w:val="009E47AE"/>
    <w:rsid w:val="009E4EE0"/>
    <w:rsid w:val="009E6231"/>
    <w:rsid w:val="009F12A3"/>
    <w:rsid w:val="009F186B"/>
    <w:rsid w:val="009F195E"/>
    <w:rsid w:val="009F39E2"/>
    <w:rsid w:val="009F4D8F"/>
    <w:rsid w:val="009F76F8"/>
    <w:rsid w:val="00A001F5"/>
    <w:rsid w:val="00A03833"/>
    <w:rsid w:val="00A03A14"/>
    <w:rsid w:val="00A1227E"/>
    <w:rsid w:val="00A1281C"/>
    <w:rsid w:val="00A166AA"/>
    <w:rsid w:val="00A2031A"/>
    <w:rsid w:val="00A21C6B"/>
    <w:rsid w:val="00A22DB0"/>
    <w:rsid w:val="00A230E0"/>
    <w:rsid w:val="00A245F6"/>
    <w:rsid w:val="00A36B3A"/>
    <w:rsid w:val="00A40FF7"/>
    <w:rsid w:val="00A42CA9"/>
    <w:rsid w:val="00A4525F"/>
    <w:rsid w:val="00A46831"/>
    <w:rsid w:val="00A5119C"/>
    <w:rsid w:val="00A52505"/>
    <w:rsid w:val="00A53764"/>
    <w:rsid w:val="00A53F08"/>
    <w:rsid w:val="00A54535"/>
    <w:rsid w:val="00A546AF"/>
    <w:rsid w:val="00A561FF"/>
    <w:rsid w:val="00A56A0A"/>
    <w:rsid w:val="00A600F2"/>
    <w:rsid w:val="00A60324"/>
    <w:rsid w:val="00A60BCA"/>
    <w:rsid w:val="00A64AA7"/>
    <w:rsid w:val="00A654DB"/>
    <w:rsid w:val="00A66595"/>
    <w:rsid w:val="00A71F5B"/>
    <w:rsid w:val="00A7765D"/>
    <w:rsid w:val="00A80CEC"/>
    <w:rsid w:val="00A877B0"/>
    <w:rsid w:val="00A923C3"/>
    <w:rsid w:val="00A92AC1"/>
    <w:rsid w:val="00A9732D"/>
    <w:rsid w:val="00AA796B"/>
    <w:rsid w:val="00AB21E6"/>
    <w:rsid w:val="00AC0639"/>
    <w:rsid w:val="00AC1B49"/>
    <w:rsid w:val="00AC216F"/>
    <w:rsid w:val="00AC2FB6"/>
    <w:rsid w:val="00AC31E6"/>
    <w:rsid w:val="00AC456D"/>
    <w:rsid w:val="00AC53F0"/>
    <w:rsid w:val="00AC5847"/>
    <w:rsid w:val="00AC69D1"/>
    <w:rsid w:val="00AC79EA"/>
    <w:rsid w:val="00AD0102"/>
    <w:rsid w:val="00AD242F"/>
    <w:rsid w:val="00AD721A"/>
    <w:rsid w:val="00AE080A"/>
    <w:rsid w:val="00AE091D"/>
    <w:rsid w:val="00AE14B5"/>
    <w:rsid w:val="00AE4D6D"/>
    <w:rsid w:val="00AE614F"/>
    <w:rsid w:val="00AE624E"/>
    <w:rsid w:val="00AF1002"/>
    <w:rsid w:val="00AF26F7"/>
    <w:rsid w:val="00AF4098"/>
    <w:rsid w:val="00AF4AAB"/>
    <w:rsid w:val="00AF5419"/>
    <w:rsid w:val="00AF55C9"/>
    <w:rsid w:val="00B00B94"/>
    <w:rsid w:val="00B01C8D"/>
    <w:rsid w:val="00B02A74"/>
    <w:rsid w:val="00B0378C"/>
    <w:rsid w:val="00B05943"/>
    <w:rsid w:val="00B0625F"/>
    <w:rsid w:val="00B067D4"/>
    <w:rsid w:val="00B11318"/>
    <w:rsid w:val="00B12FCF"/>
    <w:rsid w:val="00B14B09"/>
    <w:rsid w:val="00B1653B"/>
    <w:rsid w:val="00B165A4"/>
    <w:rsid w:val="00B171DE"/>
    <w:rsid w:val="00B178E0"/>
    <w:rsid w:val="00B20260"/>
    <w:rsid w:val="00B20BEC"/>
    <w:rsid w:val="00B269F9"/>
    <w:rsid w:val="00B26C01"/>
    <w:rsid w:val="00B304B8"/>
    <w:rsid w:val="00B32173"/>
    <w:rsid w:val="00B324DA"/>
    <w:rsid w:val="00B330A8"/>
    <w:rsid w:val="00B41A3C"/>
    <w:rsid w:val="00B45177"/>
    <w:rsid w:val="00B4704C"/>
    <w:rsid w:val="00B50FAE"/>
    <w:rsid w:val="00B52D1B"/>
    <w:rsid w:val="00B53652"/>
    <w:rsid w:val="00B61103"/>
    <w:rsid w:val="00B63BAC"/>
    <w:rsid w:val="00B64A00"/>
    <w:rsid w:val="00B64AE5"/>
    <w:rsid w:val="00B66B89"/>
    <w:rsid w:val="00B73116"/>
    <w:rsid w:val="00B76903"/>
    <w:rsid w:val="00B773BF"/>
    <w:rsid w:val="00B80660"/>
    <w:rsid w:val="00B81F7C"/>
    <w:rsid w:val="00B83107"/>
    <w:rsid w:val="00B872CC"/>
    <w:rsid w:val="00B90BD9"/>
    <w:rsid w:val="00B92321"/>
    <w:rsid w:val="00B928A8"/>
    <w:rsid w:val="00B94DEB"/>
    <w:rsid w:val="00B96DDF"/>
    <w:rsid w:val="00BA08A6"/>
    <w:rsid w:val="00BA0973"/>
    <w:rsid w:val="00BA19B5"/>
    <w:rsid w:val="00BA2CEF"/>
    <w:rsid w:val="00BA4848"/>
    <w:rsid w:val="00BA6589"/>
    <w:rsid w:val="00BB133C"/>
    <w:rsid w:val="00BB1CF8"/>
    <w:rsid w:val="00BB1FFC"/>
    <w:rsid w:val="00BB20C1"/>
    <w:rsid w:val="00BB349F"/>
    <w:rsid w:val="00BB3847"/>
    <w:rsid w:val="00BB6666"/>
    <w:rsid w:val="00BC044D"/>
    <w:rsid w:val="00BC2215"/>
    <w:rsid w:val="00BC441F"/>
    <w:rsid w:val="00BC4698"/>
    <w:rsid w:val="00BC5BF7"/>
    <w:rsid w:val="00BC67A6"/>
    <w:rsid w:val="00BC6850"/>
    <w:rsid w:val="00BC7AA0"/>
    <w:rsid w:val="00BD06E1"/>
    <w:rsid w:val="00BD20F9"/>
    <w:rsid w:val="00BD2D55"/>
    <w:rsid w:val="00BD3A9F"/>
    <w:rsid w:val="00BD4A9D"/>
    <w:rsid w:val="00BD531E"/>
    <w:rsid w:val="00BD7478"/>
    <w:rsid w:val="00BE1FA1"/>
    <w:rsid w:val="00BE3FFB"/>
    <w:rsid w:val="00BE41B2"/>
    <w:rsid w:val="00BE48A3"/>
    <w:rsid w:val="00BE4E46"/>
    <w:rsid w:val="00BE4FA4"/>
    <w:rsid w:val="00BE7C65"/>
    <w:rsid w:val="00BF0E62"/>
    <w:rsid w:val="00BF2BB3"/>
    <w:rsid w:val="00BF4580"/>
    <w:rsid w:val="00BF686D"/>
    <w:rsid w:val="00C009FB"/>
    <w:rsid w:val="00C01EEC"/>
    <w:rsid w:val="00C04083"/>
    <w:rsid w:val="00C10E62"/>
    <w:rsid w:val="00C1153A"/>
    <w:rsid w:val="00C12484"/>
    <w:rsid w:val="00C155B6"/>
    <w:rsid w:val="00C15C55"/>
    <w:rsid w:val="00C239B2"/>
    <w:rsid w:val="00C24CC5"/>
    <w:rsid w:val="00C24EA0"/>
    <w:rsid w:val="00C25C65"/>
    <w:rsid w:val="00C263DA"/>
    <w:rsid w:val="00C30724"/>
    <w:rsid w:val="00C31914"/>
    <w:rsid w:val="00C3409D"/>
    <w:rsid w:val="00C35023"/>
    <w:rsid w:val="00C3571C"/>
    <w:rsid w:val="00C362B2"/>
    <w:rsid w:val="00C36753"/>
    <w:rsid w:val="00C36D5B"/>
    <w:rsid w:val="00C36E7A"/>
    <w:rsid w:val="00C37FEB"/>
    <w:rsid w:val="00C4367B"/>
    <w:rsid w:val="00C443B8"/>
    <w:rsid w:val="00C449F4"/>
    <w:rsid w:val="00C4616B"/>
    <w:rsid w:val="00C4746D"/>
    <w:rsid w:val="00C474DC"/>
    <w:rsid w:val="00C50650"/>
    <w:rsid w:val="00C5557A"/>
    <w:rsid w:val="00C57654"/>
    <w:rsid w:val="00C60025"/>
    <w:rsid w:val="00C61CCD"/>
    <w:rsid w:val="00C6251E"/>
    <w:rsid w:val="00C62534"/>
    <w:rsid w:val="00C62C07"/>
    <w:rsid w:val="00C64D64"/>
    <w:rsid w:val="00C65423"/>
    <w:rsid w:val="00C658AF"/>
    <w:rsid w:val="00C676C8"/>
    <w:rsid w:val="00C72DDD"/>
    <w:rsid w:val="00C7459E"/>
    <w:rsid w:val="00C746D5"/>
    <w:rsid w:val="00C75804"/>
    <w:rsid w:val="00C80D28"/>
    <w:rsid w:val="00C81CC0"/>
    <w:rsid w:val="00C81EAC"/>
    <w:rsid w:val="00C8272A"/>
    <w:rsid w:val="00C83D43"/>
    <w:rsid w:val="00C84538"/>
    <w:rsid w:val="00C8631A"/>
    <w:rsid w:val="00C87198"/>
    <w:rsid w:val="00C900B2"/>
    <w:rsid w:val="00C907B7"/>
    <w:rsid w:val="00C90EA8"/>
    <w:rsid w:val="00C9288F"/>
    <w:rsid w:val="00C93771"/>
    <w:rsid w:val="00C95B6D"/>
    <w:rsid w:val="00C961F9"/>
    <w:rsid w:val="00CA18B5"/>
    <w:rsid w:val="00CA6783"/>
    <w:rsid w:val="00CB144D"/>
    <w:rsid w:val="00CB2C97"/>
    <w:rsid w:val="00CB553D"/>
    <w:rsid w:val="00CB5C82"/>
    <w:rsid w:val="00CB6A27"/>
    <w:rsid w:val="00CC377C"/>
    <w:rsid w:val="00CC724E"/>
    <w:rsid w:val="00CD0857"/>
    <w:rsid w:val="00CD1251"/>
    <w:rsid w:val="00CD1860"/>
    <w:rsid w:val="00CD1E1F"/>
    <w:rsid w:val="00CD54F4"/>
    <w:rsid w:val="00CE3FCA"/>
    <w:rsid w:val="00CE69E0"/>
    <w:rsid w:val="00CE7C41"/>
    <w:rsid w:val="00CF1A25"/>
    <w:rsid w:val="00CF28BB"/>
    <w:rsid w:val="00CF2AE9"/>
    <w:rsid w:val="00CF321D"/>
    <w:rsid w:val="00CF33DA"/>
    <w:rsid w:val="00CF5CEE"/>
    <w:rsid w:val="00CF7FCD"/>
    <w:rsid w:val="00D02DBE"/>
    <w:rsid w:val="00D0310A"/>
    <w:rsid w:val="00D03AF8"/>
    <w:rsid w:val="00D04B28"/>
    <w:rsid w:val="00D05AF3"/>
    <w:rsid w:val="00D14E74"/>
    <w:rsid w:val="00D1720F"/>
    <w:rsid w:val="00D210C1"/>
    <w:rsid w:val="00D24759"/>
    <w:rsid w:val="00D24B98"/>
    <w:rsid w:val="00D25060"/>
    <w:rsid w:val="00D2622A"/>
    <w:rsid w:val="00D2666C"/>
    <w:rsid w:val="00D3089E"/>
    <w:rsid w:val="00D37182"/>
    <w:rsid w:val="00D37675"/>
    <w:rsid w:val="00D4044E"/>
    <w:rsid w:val="00D4071A"/>
    <w:rsid w:val="00D40F3C"/>
    <w:rsid w:val="00D411C1"/>
    <w:rsid w:val="00D45A1E"/>
    <w:rsid w:val="00D45FDF"/>
    <w:rsid w:val="00D46452"/>
    <w:rsid w:val="00D469A3"/>
    <w:rsid w:val="00D474D5"/>
    <w:rsid w:val="00D50FCE"/>
    <w:rsid w:val="00D52A44"/>
    <w:rsid w:val="00D53375"/>
    <w:rsid w:val="00D534CA"/>
    <w:rsid w:val="00D549EA"/>
    <w:rsid w:val="00D5604A"/>
    <w:rsid w:val="00D60FBC"/>
    <w:rsid w:val="00D64428"/>
    <w:rsid w:val="00D64E92"/>
    <w:rsid w:val="00D6536C"/>
    <w:rsid w:val="00D65394"/>
    <w:rsid w:val="00D67984"/>
    <w:rsid w:val="00D67EB6"/>
    <w:rsid w:val="00D7109A"/>
    <w:rsid w:val="00D7224E"/>
    <w:rsid w:val="00D72354"/>
    <w:rsid w:val="00D723B6"/>
    <w:rsid w:val="00D75410"/>
    <w:rsid w:val="00D75913"/>
    <w:rsid w:val="00D831C9"/>
    <w:rsid w:val="00D8460B"/>
    <w:rsid w:val="00D94A97"/>
    <w:rsid w:val="00D97CCE"/>
    <w:rsid w:val="00D97D13"/>
    <w:rsid w:val="00DA0108"/>
    <w:rsid w:val="00DA3F03"/>
    <w:rsid w:val="00DA41E4"/>
    <w:rsid w:val="00DA4C35"/>
    <w:rsid w:val="00DA4E59"/>
    <w:rsid w:val="00DA69C2"/>
    <w:rsid w:val="00DB00F5"/>
    <w:rsid w:val="00DB20BA"/>
    <w:rsid w:val="00DB3E63"/>
    <w:rsid w:val="00DB47F7"/>
    <w:rsid w:val="00DC098B"/>
    <w:rsid w:val="00DC12AB"/>
    <w:rsid w:val="00DC1D4D"/>
    <w:rsid w:val="00DC307B"/>
    <w:rsid w:val="00DC3164"/>
    <w:rsid w:val="00DC419B"/>
    <w:rsid w:val="00DC4754"/>
    <w:rsid w:val="00DC7FC8"/>
    <w:rsid w:val="00DD239F"/>
    <w:rsid w:val="00DD55EE"/>
    <w:rsid w:val="00DD7868"/>
    <w:rsid w:val="00DD7F4C"/>
    <w:rsid w:val="00DE0D9F"/>
    <w:rsid w:val="00DE12D7"/>
    <w:rsid w:val="00DE2B67"/>
    <w:rsid w:val="00DE42B4"/>
    <w:rsid w:val="00DE4378"/>
    <w:rsid w:val="00DF46E8"/>
    <w:rsid w:val="00DF6196"/>
    <w:rsid w:val="00DF6ACF"/>
    <w:rsid w:val="00E023FF"/>
    <w:rsid w:val="00E0289D"/>
    <w:rsid w:val="00E032A4"/>
    <w:rsid w:val="00E05324"/>
    <w:rsid w:val="00E064C1"/>
    <w:rsid w:val="00E13D8E"/>
    <w:rsid w:val="00E169AA"/>
    <w:rsid w:val="00E20638"/>
    <w:rsid w:val="00E21CBF"/>
    <w:rsid w:val="00E267FB"/>
    <w:rsid w:val="00E33555"/>
    <w:rsid w:val="00E345DC"/>
    <w:rsid w:val="00E35D4C"/>
    <w:rsid w:val="00E36674"/>
    <w:rsid w:val="00E40A83"/>
    <w:rsid w:val="00E417A2"/>
    <w:rsid w:val="00E43224"/>
    <w:rsid w:val="00E43F26"/>
    <w:rsid w:val="00E473E3"/>
    <w:rsid w:val="00E50944"/>
    <w:rsid w:val="00E53905"/>
    <w:rsid w:val="00E541F3"/>
    <w:rsid w:val="00E543E7"/>
    <w:rsid w:val="00E547A8"/>
    <w:rsid w:val="00E5585A"/>
    <w:rsid w:val="00E560E4"/>
    <w:rsid w:val="00E56F00"/>
    <w:rsid w:val="00E608AD"/>
    <w:rsid w:val="00E60DB3"/>
    <w:rsid w:val="00E63D78"/>
    <w:rsid w:val="00E63F4D"/>
    <w:rsid w:val="00E6456B"/>
    <w:rsid w:val="00E64604"/>
    <w:rsid w:val="00E67501"/>
    <w:rsid w:val="00E70148"/>
    <w:rsid w:val="00E701D5"/>
    <w:rsid w:val="00E70985"/>
    <w:rsid w:val="00E70C72"/>
    <w:rsid w:val="00E71498"/>
    <w:rsid w:val="00E751E4"/>
    <w:rsid w:val="00E772B4"/>
    <w:rsid w:val="00E77962"/>
    <w:rsid w:val="00E81672"/>
    <w:rsid w:val="00E831F0"/>
    <w:rsid w:val="00E833D0"/>
    <w:rsid w:val="00E87319"/>
    <w:rsid w:val="00E877A2"/>
    <w:rsid w:val="00E9008F"/>
    <w:rsid w:val="00E92ADB"/>
    <w:rsid w:val="00E92C71"/>
    <w:rsid w:val="00E94F39"/>
    <w:rsid w:val="00E9544C"/>
    <w:rsid w:val="00E95F8C"/>
    <w:rsid w:val="00EA0C5C"/>
    <w:rsid w:val="00EA299A"/>
    <w:rsid w:val="00EA2BBB"/>
    <w:rsid w:val="00EB287A"/>
    <w:rsid w:val="00EB526E"/>
    <w:rsid w:val="00EB6203"/>
    <w:rsid w:val="00EC33F9"/>
    <w:rsid w:val="00EC382F"/>
    <w:rsid w:val="00EC4CFB"/>
    <w:rsid w:val="00EC4D4A"/>
    <w:rsid w:val="00ED05EA"/>
    <w:rsid w:val="00ED0B9F"/>
    <w:rsid w:val="00ED25B9"/>
    <w:rsid w:val="00ED372F"/>
    <w:rsid w:val="00ED3BD1"/>
    <w:rsid w:val="00ED5654"/>
    <w:rsid w:val="00ED5BD6"/>
    <w:rsid w:val="00ED5CC7"/>
    <w:rsid w:val="00ED6F9E"/>
    <w:rsid w:val="00EE2336"/>
    <w:rsid w:val="00EE4D10"/>
    <w:rsid w:val="00EE5E72"/>
    <w:rsid w:val="00EE701E"/>
    <w:rsid w:val="00EE714B"/>
    <w:rsid w:val="00EF0D37"/>
    <w:rsid w:val="00EF17ED"/>
    <w:rsid w:val="00EF465C"/>
    <w:rsid w:val="00EF496C"/>
    <w:rsid w:val="00EF7DE0"/>
    <w:rsid w:val="00F02965"/>
    <w:rsid w:val="00F041C0"/>
    <w:rsid w:val="00F058CF"/>
    <w:rsid w:val="00F06733"/>
    <w:rsid w:val="00F075DD"/>
    <w:rsid w:val="00F15FF3"/>
    <w:rsid w:val="00F16836"/>
    <w:rsid w:val="00F16947"/>
    <w:rsid w:val="00F16BF9"/>
    <w:rsid w:val="00F17602"/>
    <w:rsid w:val="00F17F92"/>
    <w:rsid w:val="00F2403C"/>
    <w:rsid w:val="00F262DA"/>
    <w:rsid w:val="00F27795"/>
    <w:rsid w:val="00F27B0A"/>
    <w:rsid w:val="00F33E4D"/>
    <w:rsid w:val="00F33ED4"/>
    <w:rsid w:val="00F35842"/>
    <w:rsid w:val="00F40DD8"/>
    <w:rsid w:val="00F411ED"/>
    <w:rsid w:val="00F4578F"/>
    <w:rsid w:val="00F45DF9"/>
    <w:rsid w:val="00F472F2"/>
    <w:rsid w:val="00F53B60"/>
    <w:rsid w:val="00F53EEC"/>
    <w:rsid w:val="00F54583"/>
    <w:rsid w:val="00F573B9"/>
    <w:rsid w:val="00F62617"/>
    <w:rsid w:val="00F636F1"/>
    <w:rsid w:val="00F64268"/>
    <w:rsid w:val="00F70EE5"/>
    <w:rsid w:val="00F72784"/>
    <w:rsid w:val="00F76A56"/>
    <w:rsid w:val="00F80A54"/>
    <w:rsid w:val="00F80AD6"/>
    <w:rsid w:val="00F8163B"/>
    <w:rsid w:val="00F83F5B"/>
    <w:rsid w:val="00F855CC"/>
    <w:rsid w:val="00F86140"/>
    <w:rsid w:val="00F862AE"/>
    <w:rsid w:val="00F86986"/>
    <w:rsid w:val="00F91DAF"/>
    <w:rsid w:val="00F925A7"/>
    <w:rsid w:val="00F92BC8"/>
    <w:rsid w:val="00F96CC1"/>
    <w:rsid w:val="00FA3592"/>
    <w:rsid w:val="00FA3922"/>
    <w:rsid w:val="00FA58F5"/>
    <w:rsid w:val="00FB0024"/>
    <w:rsid w:val="00FB238D"/>
    <w:rsid w:val="00FB2553"/>
    <w:rsid w:val="00FB31DA"/>
    <w:rsid w:val="00FB3C71"/>
    <w:rsid w:val="00FB5AC0"/>
    <w:rsid w:val="00FC1945"/>
    <w:rsid w:val="00FC2222"/>
    <w:rsid w:val="00FC3463"/>
    <w:rsid w:val="00FC5224"/>
    <w:rsid w:val="00FD0A79"/>
    <w:rsid w:val="00FD20CC"/>
    <w:rsid w:val="00FD2168"/>
    <w:rsid w:val="00FD3D13"/>
    <w:rsid w:val="00FD4DBC"/>
    <w:rsid w:val="00FD5218"/>
    <w:rsid w:val="00FD5F36"/>
    <w:rsid w:val="00FE0D16"/>
    <w:rsid w:val="00FE11DD"/>
    <w:rsid w:val="00FE2504"/>
    <w:rsid w:val="00FE44A2"/>
    <w:rsid w:val="00FE558E"/>
    <w:rsid w:val="00FE64E8"/>
    <w:rsid w:val="00FF527A"/>
    <w:rsid w:val="00FF6064"/>
    <w:rsid w:val="00FF7BC3"/>
    <w:rsid w:val="45DA7BF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E005"/>
  <w15:chartTrackingRefBased/>
  <w15:docId w15:val="{B9A6FB49-33A7-4A72-ADBF-5BBC2693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19"/>
    <w:pPr>
      <w:autoSpaceDE w:val="0"/>
      <w:autoSpaceDN w:val="0"/>
      <w:adjustRightInd w:val="0"/>
      <w:spacing w:after="180" w:line="240" w:lineRule="atLeast"/>
      <w:textAlignment w:val="center"/>
    </w:pPr>
    <w:rPr>
      <w:rFonts w:ascii="Arial" w:hAnsi="Arial" w:cs="Arial"/>
      <w:sz w:val="20"/>
      <w:szCs w:val="18"/>
    </w:rPr>
  </w:style>
  <w:style w:type="paragraph" w:styleId="Heading1">
    <w:name w:val="heading 1"/>
    <w:basedOn w:val="Section1"/>
    <w:next w:val="Normal"/>
    <w:link w:val="Heading1Char"/>
    <w:uiPriority w:val="3"/>
    <w:qFormat/>
    <w:rsid w:val="0025644F"/>
  </w:style>
  <w:style w:type="paragraph" w:styleId="Heading2">
    <w:name w:val="heading 2"/>
    <w:basedOn w:val="Normal"/>
    <w:next w:val="Normal"/>
    <w:link w:val="Heading2Char"/>
    <w:autoRedefine/>
    <w:uiPriority w:val="3"/>
    <w:qFormat/>
    <w:rsid w:val="00D64428"/>
    <w:pPr>
      <w:keepNext/>
      <w:keepLines/>
      <w:autoSpaceDE/>
      <w:autoSpaceDN/>
      <w:adjustRightInd/>
      <w:spacing w:before="40" w:after="360" w:line="288" w:lineRule="auto"/>
      <w:textAlignment w:val="auto"/>
      <w:outlineLvl w:val="1"/>
    </w:pPr>
    <w:rPr>
      <w:rFonts w:eastAsia="Times New Roman" w:cs="Times New Roman"/>
      <w:bCs/>
      <w:kern w:val="2"/>
      <w:sz w:val="32"/>
      <w:szCs w:val="22"/>
      <w14:ligatures w14:val="standardContextual"/>
    </w:rPr>
  </w:style>
  <w:style w:type="paragraph" w:styleId="Heading3">
    <w:name w:val="heading 3"/>
    <w:basedOn w:val="Normal"/>
    <w:next w:val="Normal"/>
    <w:link w:val="Heading3Char"/>
    <w:uiPriority w:val="3"/>
    <w:qFormat/>
    <w:rsid w:val="00D64428"/>
    <w:pPr>
      <w:keepNext/>
      <w:keepLines/>
      <w:autoSpaceDE/>
      <w:autoSpaceDN/>
      <w:adjustRightInd/>
      <w:spacing w:before="120" w:after="0" w:line="288" w:lineRule="auto"/>
      <w:textAlignment w:val="auto"/>
      <w:outlineLvl w:val="2"/>
    </w:pPr>
    <w:rPr>
      <w:rFonts w:eastAsia="Times New Roman" w:cs="Times New Roman"/>
      <w:b/>
      <w:kern w:val="2"/>
      <w:sz w:val="24"/>
      <w:szCs w:val="24"/>
      <w14:ligatures w14:val="standardContextual"/>
    </w:rPr>
  </w:style>
  <w:style w:type="paragraph" w:styleId="Heading4">
    <w:name w:val="heading 4"/>
    <w:basedOn w:val="Normal"/>
    <w:next w:val="Normal"/>
    <w:link w:val="Heading4Char"/>
    <w:uiPriority w:val="3"/>
    <w:rsid w:val="00D64428"/>
    <w:pPr>
      <w:keepNext/>
      <w:keepLines/>
      <w:spacing w:before="40" w:after="0"/>
      <w:outlineLvl w:val="3"/>
    </w:pPr>
    <w:rPr>
      <w:rFonts w:eastAsia="Times New Roman" w:cstheme="majorBidi"/>
      <w:b/>
      <w:iCs/>
      <w:sz w:val="22"/>
    </w:rPr>
  </w:style>
  <w:style w:type="paragraph" w:styleId="Heading5">
    <w:name w:val="heading 5"/>
    <w:basedOn w:val="Normal"/>
    <w:next w:val="Normal"/>
    <w:link w:val="Heading5Char"/>
    <w:uiPriority w:val="3"/>
    <w:qFormat/>
    <w:rsid w:val="0025644F"/>
    <w:pPr>
      <w:keepNext/>
      <w:keepLines/>
      <w:autoSpaceDE/>
      <w:autoSpaceDN/>
      <w:adjustRightInd/>
      <w:spacing w:before="40" w:after="0" w:line="288" w:lineRule="auto"/>
      <w:textAlignment w:val="auto"/>
      <w:outlineLvl w:val="4"/>
    </w:pPr>
    <w:rPr>
      <w:rFonts w:eastAsia="Times New Roman" w:cs="Times New Roman"/>
      <w:b/>
      <w:iCs/>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25644F"/>
    <w:rPr>
      <w:rFonts w:ascii="Arial" w:eastAsia="Times New Roman" w:hAnsi="Arial" w:cs="Times New Roman"/>
      <w:b/>
      <w:kern w:val="2"/>
      <w:sz w:val="32"/>
      <w:szCs w:val="32"/>
      <w14:ligatures w14:val="standardContextual"/>
    </w:rPr>
  </w:style>
  <w:style w:type="character" w:customStyle="1" w:styleId="Heading2Char">
    <w:name w:val="Heading 2 Char"/>
    <w:basedOn w:val="DefaultParagraphFont"/>
    <w:link w:val="Heading2"/>
    <w:uiPriority w:val="3"/>
    <w:rsid w:val="00D64428"/>
    <w:rPr>
      <w:rFonts w:ascii="Arial" w:eastAsia="Times New Roman" w:hAnsi="Arial" w:cs="Times New Roman"/>
      <w:bCs/>
      <w:kern w:val="2"/>
      <w:sz w:val="32"/>
      <w14:ligatures w14:val="standardContextual"/>
    </w:rPr>
  </w:style>
  <w:style w:type="character" w:customStyle="1" w:styleId="Heading3Char">
    <w:name w:val="Heading 3 Char"/>
    <w:basedOn w:val="DefaultParagraphFont"/>
    <w:link w:val="Heading3"/>
    <w:uiPriority w:val="3"/>
    <w:rsid w:val="00D64428"/>
    <w:rPr>
      <w:rFonts w:ascii="Arial" w:eastAsia="Times New Roman" w:hAnsi="Arial" w:cs="Times New Roman"/>
      <w:b/>
      <w:kern w:val="2"/>
      <w:sz w:val="24"/>
      <w:szCs w:val="24"/>
      <w14:ligatures w14:val="standardContextual"/>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spacing w:after="960" w:line="259" w:lineRule="auto"/>
    </w:pPr>
    <w:rPr>
      <w:rFonts w:eastAsiaTheme="majorEastAsia" w:cstheme="majorBidi"/>
      <w:bCs/>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25644F"/>
    <w:pPr>
      <w:spacing w:after="80"/>
    </w:pPr>
    <w:rPr>
      <w:rFonts w:ascii="Arial" w:hAnsi="Arial" w:cs="Arial"/>
      <w:color w:val="auto"/>
      <w:sz w:val="18"/>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25644F"/>
    <w:rPr>
      <w:rFonts w:ascii="Arial" w:hAnsi="Arial" w:cs="Arial"/>
      <w:sz w:val="18"/>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25644F"/>
    <w:pPr>
      <w:pBdr>
        <w:bottom w:val="dotted" w:sz="6" w:space="9" w:color="auto"/>
      </w:pBdr>
    </w:pPr>
    <w:rPr>
      <w:sz w:val="18"/>
    </w:r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25644F"/>
    <w:rPr>
      <w:rFonts w:ascii="Arial" w:hAnsi="Arial" w:cs="Arial"/>
      <w:color w:val="000000"/>
      <w:sz w:val="18"/>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link w:val="TableData-LeftAlignInteriorTableChartGraphChar"/>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Normal"/>
    <w:link w:val="Section1Char"/>
    <w:uiPriority w:val="2"/>
    <w:semiHidden/>
    <w:rsid w:val="0025644F"/>
    <w:pPr>
      <w:keepNext/>
      <w:keepLines/>
      <w:autoSpaceDE/>
      <w:autoSpaceDN/>
      <w:adjustRightInd/>
      <w:spacing w:before="220" w:after="0" w:line="288" w:lineRule="auto"/>
      <w:textAlignment w:val="auto"/>
      <w:outlineLvl w:val="0"/>
    </w:pPr>
    <w:rPr>
      <w:rFonts w:eastAsia="Times New Roman" w:cs="Times New Roman"/>
      <w:b/>
      <w:kern w:val="2"/>
      <w:sz w:val="32"/>
      <w:szCs w:val="32"/>
      <w14:ligatures w14:val="standardContextu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semiHidden/>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semiHidden/>
    <w:rsid w:val="0025644F"/>
    <w:rPr>
      <w:rFonts w:ascii="Arial" w:eastAsia="Times New Roman" w:hAnsi="Arial" w:cs="Times New Roman"/>
      <w:b/>
      <w:bCs w:val="0"/>
      <w:color w:val="000000"/>
      <w:kern w:val="2"/>
      <w:sz w:val="32"/>
      <w:szCs w:val="32"/>
      <w14:ligatures w14:val="standardContextual"/>
    </w:rPr>
  </w:style>
  <w:style w:type="paragraph" w:customStyle="1" w:styleId="TableH1">
    <w:name w:val="Table H1"/>
    <w:basedOn w:val="HeaderInteriorTableChartGraph"/>
    <w:link w:val="TableH1Char"/>
    <w:autoRedefine/>
    <w:uiPriority w:val="5"/>
    <w:qFormat/>
    <w:rsid w:val="0025644F"/>
    <w:pPr>
      <w:pBdr>
        <w:top w:val="dotted" w:sz="6" w:space="4" w:color="auto"/>
      </w:pBdr>
    </w:pPr>
    <w:rPr>
      <w:rFonts w:ascii="Arial" w:hAnsi="Arial" w:cs="Arial"/>
      <w:sz w:val="20"/>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semiHidden/>
    <w:rsid w:val="0025644F"/>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5974F7"/>
    <w:pPr>
      <w:spacing w:after="120"/>
    </w:pPr>
    <w:rPr>
      <w:rFonts w:ascii="Arial" w:hAnsi="Arial"/>
      <w:sz w:val="20"/>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D64428"/>
    <w:rPr>
      <w:rFonts w:ascii="Arial" w:hAnsi="Arial" w:cs="Arial"/>
      <w:b/>
      <w:bCs/>
      <w:caps/>
      <w:color w:val="000000"/>
      <w:spacing w:val="3"/>
      <w:sz w:val="20"/>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64428"/>
    <w:rPr>
      <w:rFonts w:ascii="Arial" w:hAnsi="Arial" w:cs="HelveticaNeueLT Std Lt"/>
      <w:color w:val="000000"/>
      <w:sz w:val="20"/>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5"/>
    <w:qFormat/>
    <w:rsid w:val="00162B41"/>
    <w:pPr>
      <w:spacing w:after="80"/>
    </w:pPr>
    <w:rPr>
      <w:b/>
      <w:szCs w:val="20"/>
    </w:rPr>
  </w:style>
  <w:style w:type="character" w:customStyle="1" w:styleId="CalltoactionChar1">
    <w:name w:val="Call to action Char1"/>
    <w:basedOn w:val="DefaultParagraphFont"/>
    <w:link w:val="Calltoaction"/>
    <w:uiPriority w:val="5"/>
    <w:rsid w:val="00D64428"/>
    <w:rPr>
      <w:rFonts w:ascii="Arial" w:hAnsi="Arial" w:cs="Arial"/>
      <w:b/>
      <w:sz w:val="20"/>
      <w:szCs w:val="20"/>
    </w:rPr>
  </w:style>
  <w:style w:type="paragraph" w:customStyle="1" w:styleId="BlueBar">
    <w:name w:val="BlueBar"/>
    <w:basedOn w:val="Normal"/>
    <w:link w:val="BlueBarChar"/>
    <w:uiPriority w:val="2"/>
    <w:semiHidden/>
    <w:rsid w:val="006B67DE"/>
    <w:pPr>
      <w:tabs>
        <w:tab w:val="right" w:leader="dot" w:pos="459"/>
      </w:tabs>
      <w:autoSpaceDE/>
      <w:autoSpaceDN/>
      <w:adjustRightInd/>
      <w:spacing w:after="360" w:line="120" w:lineRule="exact"/>
      <w:ind w:left="-101"/>
      <w:textAlignment w:val="auto"/>
    </w:pPr>
    <w:rPr>
      <w:b/>
      <w:color w:val="00B0F0"/>
      <w:spacing w:val="-200"/>
      <w:w w:val="200"/>
      <w:sz w:val="56"/>
      <w:szCs w:val="56"/>
      <w14:ligatures w14:val="standardContextual"/>
    </w:rPr>
  </w:style>
  <w:style w:type="character" w:customStyle="1" w:styleId="BlueBarChar">
    <w:name w:val="BlueBar Char"/>
    <w:basedOn w:val="DefaultParagraphFont"/>
    <w:link w:val="BlueBar"/>
    <w:uiPriority w:val="2"/>
    <w:semiHidden/>
    <w:rsid w:val="0025644F"/>
    <w:rPr>
      <w:rFonts w:ascii="Arial" w:hAnsi="Arial" w:cs="Arial"/>
      <w:b/>
      <w:color w:val="00B0F0"/>
      <w:spacing w:val="-200"/>
      <w:w w:val="200"/>
      <w:sz w:val="56"/>
      <w:szCs w:val="56"/>
      <w14:ligatures w14:val="standardContextual"/>
    </w:rPr>
  </w:style>
  <w:style w:type="character" w:customStyle="1" w:styleId="Heading4Char">
    <w:name w:val="Heading 4 Char"/>
    <w:basedOn w:val="DefaultParagraphFont"/>
    <w:link w:val="Heading4"/>
    <w:uiPriority w:val="3"/>
    <w:rsid w:val="00D64428"/>
    <w:rPr>
      <w:rFonts w:ascii="Arial" w:eastAsia="Times New Roman" w:hAnsi="Arial" w:cstheme="majorBidi"/>
      <w:b/>
      <w:iCs/>
      <w:szCs w:val="18"/>
    </w:rPr>
  </w:style>
  <w:style w:type="character" w:customStyle="1" w:styleId="Heading5Char">
    <w:name w:val="Heading 5 Char"/>
    <w:basedOn w:val="DefaultParagraphFont"/>
    <w:link w:val="Heading5"/>
    <w:uiPriority w:val="3"/>
    <w:rsid w:val="00D64428"/>
    <w:rPr>
      <w:rFonts w:ascii="Arial" w:eastAsia="Times New Roman" w:hAnsi="Arial" w:cs="Times New Roman"/>
      <w:b/>
      <w:iCs/>
      <w:kern w:val="2"/>
      <w:sz w:val="20"/>
      <w14:ligatures w14:val="standardContextual"/>
    </w:rPr>
  </w:style>
  <w:style w:type="paragraph" w:customStyle="1" w:styleId="Tabletext">
    <w:name w:val="Table text"/>
    <w:basedOn w:val="TableData-LeftAlignInteriorTableChartGraph"/>
    <w:link w:val="TabletextChar"/>
    <w:qFormat/>
    <w:rsid w:val="00764D2D"/>
    <w:rPr>
      <w:rFonts w:ascii="Arial" w:hAnsi="Arial" w:cs="Arial"/>
      <w:sz w:val="20"/>
      <w:szCs w:val="20"/>
    </w:rPr>
  </w:style>
  <w:style w:type="character" w:customStyle="1" w:styleId="TableData-LeftAlignInteriorTableChartGraphChar">
    <w:name w:val="Table Data - Left Align (Interior:Table/Chart/Graph) Char"/>
    <w:basedOn w:val="DefaultParagraphFont"/>
    <w:link w:val="TableData-LeftAlignInteriorTableChartGraph"/>
    <w:uiPriority w:val="99"/>
    <w:rsid w:val="00764D2D"/>
    <w:rPr>
      <w:rFonts w:ascii="HelveticaNeueLT Std Lt" w:hAnsi="HelveticaNeueLT Std Lt" w:cs="HelveticaNeueLT Std Lt"/>
      <w:color w:val="000000"/>
      <w:sz w:val="16"/>
      <w:szCs w:val="16"/>
    </w:rPr>
  </w:style>
  <w:style w:type="character" w:customStyle="1" w:styleId="TabletextChar">
    <w:name w:val="Table text Char"/>
    <w:basedOn w:val="TableData-LeftAlignInteriorTableChartGraphChar"/>
    <w:link w:val="Tabletext"/>
    <w:rsid w:val="00764D2D"/>
    <w:rPr>
      <w:rFonts w:ascii="Arial" w:hAnsi="Arial" w:cs="Arial"/>
      <w:color w:val="000000"/>
      <w:sz w:val="20"/>
      <w:szCs w:val="20"/>
    </w:rPr>
  </w:style>
  <w:style w:type="paragraph" w:customStyle="1" w:styleId="Tablesummary">
    <w:name w:val="Table summary"/>
    <w:basedOn w:val="TableData-LeftAlignInteriorTableChartGraph"/>
    <w:link w:val="TablesummaryChar"/>
    <w:qFormat/>
    <w:rsid w:val="00764D2D"/>
    <w:rPr>
      <w:rFonts w:ascii="Arial" w:hAnsi="Arial" w:cs="Arial"/>
      <w:b/>
      <w:sz w:val="20"/>
      <w:szCs w:val="20"/>
    </w:rPr>
  </w:style>
  <w:style w:type="character" w:customStyle="1" w:styleId="TablesummaryChar">
    <w:name w:val="Table summary Char"/>
    <w:basedOn w:val="TableData-LeftAlignInteriorTableChartGraphChar"/>
    <w:link w:val="Tablesummary"/>
    <w:rsid w:val="00764D2D"/>
    <w:rPr>
      <w:rFonts w:ascii="Arial" w:hAnsi="Arial" w:cs="Arial"/>
      <w:b/>
      <w:color w:val="000000"/>
      <w:sz w:val="20"/>
      <w:szCs w:val="20"/>
    </w:rPr>
  </w:style>
  <w:style w:type="paragraph" w:customStyle="1" w:styleId="Tableboldsubhead">
    <w:name w:val="Table bold subhead"/>
    <w:basedOn w:val="TableData-LeftAlignInteriorTableChartGraph"/>
    <w:link w:val="TableboldsubheadChar"/>
    <w:qFormat/>
    <w:rsid w:val="00764D2D"/>
    <w:rPr>
      <w:rFonts w:ascii="Arial" w:hAnsi="Arial" w:cs="Arial"/>
      <w:b/>
      <w:sz w:val="20"/>
      <w:szCs w:val="20"/>
    </w:rPr>
  </w:style>
  <w:style w:type="character" w:customStyle="1" w:styleId="TableboldsubheadChar">
    <w:name w:val="Table bold subhead Char"/>
    <w:basedOn w:val="TableData-LeftAlignInteriorTableChartGraphChar"/>
    <w:link w:val="Tableboldsubhead"/>
    <w:rsid w:val="00764D2D"/>
    <w:rPr>
      <w:rFonts w:ascii="Arial" w:hAnsi="Arial" w:cs="Arial"/>
      <w:b/>
      <w:color w:val="000000"/>
      <w:sz w:val="20"/>
      <w:szCs w:val="20"/>
    </w:rPr>
  </w:style>
  <w:style w:type="character" w:customStyle="1" w:styleId="ListParagraphChar">
    <w:name w:val="List Paragraph Char"/>
    <w:basedOn w:val="DefaultParagraphFont"/>
    <w:link w:val="ListParagraph"/>
    <w:uiPriority w:val="34"/>
    <w:rsid w:val="009615B2"/>
    <w:rPr>
      <w:rFonts w:ascii="Arial" w:hAnsi="Arial" w:cs="Arial"/>
      <w:sz w:val="20"/>
      <w:szCs w:val="18"/>
    </w:rPr>
  </w:style>
  <w:style w:type="character" w:styleId="CommentReference">
    <w:name w:val="annotation reference"/>
    <w:basedOn w:val="DefaultParagraphFont"/>
    <w:uiPriority w:val="99"/>
    <w:semiHidden/>
    <w:unhideWhenUsed/>
    <w:rsid w:val="00E81672"/>
    <w:rPr>
      <w:sz w:val="16"/>
      <w:szCs w:val="16"/>
    </w:rPr>
  </w:style>
  <w:style w:type="paragraph" w:styleId="CommentText">
    <w:name w:val="annotation text"/>
    <w:basedOn w:val="Normal"/>
    <w:link w:val="CommentTextChar"/>
    <w:uiPriority w:val="99"/>
    <w:unhideWhenUsed/>
    <w:rsid w:val="00E81672"/>
    <w:pPr>
      <w:spacing w:line="240" w:lineRule="auto"/>
    </w:pPr>
    <w:rPr>
      <w:szCs w:val="20"/>
    </w:rPr>
  </w:style>
  <w:style w:type="character" w:customStyle="1" w:styleId="CommentTextChar">
    <w:name w:val="Comment Text Char"/>
    <w:basedOn w:val="DefaultParagraphFont"/>
    <w:link w:val="CommentText"/>
    <w:uiPriority w:val="99"/>
    <w:rsid w:val="00E8167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1672"/>
    <w:rPr>
      <w:b/>
      <w:bCs/>
    </w:rPr>
  </w:style>
  <w:style w:type="character" w:customStyle="1" w:styleId="CommentSubjectChar">
    <w:name w:val="Comment Subject Char"/>
    <w:basedOn w:val="CommentTextChar"/>
    <w:link w:val="CommentSubject"/>
    <w:uiPriority w:val="99"/>
    <w:semiHidden/>
    <w:rsid w:val="00E81672"/>
    <w:rPr>
      <w:rFonts w:ascii="Arial" w:hAnsi="Arial" w:cs="Arial"/>
      <w:b/>
      <w:bCs/>
      <w:sz w:val="20"/>
      <w:szCs w:val="20"/>
    </w:rPr>
  </w:style>
  <w:style w:type="character" w:styleId="UnresolvedMention">
    <w:name w:val="Unresolved Mention"/>
    <w:basedOn w:val="DefaultParagraphFont"/>
    <w:uiPriority w:val="99"/>
    <w:semiHidden/>
    <w:unhideWhenUsed/>
    <w:rsid w:val="00AC1B49"/>
    <w:rPr>
      <w:color w:val="605E5C"/>
      <w:shd w:val="clear" w:color="auto" w:fill="E1DFDD"/>
    </w:rPr>
  </w:style>
  <w:style w:type="character" w:styleId="FollowedHyperlink">
    <w:name w:val="FollowedHyperlink"/>
    <w:basedOn w:val="DefaultParagraphFont"/>
    <w:uiPriority w:val="99"/>
    <w:semiHidden/>
    <w:unhideWhenUsed/>
    <w:rsid w:val="00AC1B49"/>
    <w:rPr>
      <w:color w:val="800080" w:themeColor="followedHyperlink"/>
      <w:u w:val="single"/>
    </w:rPr>
  </w:style>
  <w:style w:type="paragraph" w:styleId="Revision">
    <w:name w:val="Revision"/>
    <w:hidden/>
    <w:uiPriority w:val="99"/>
    <w:semiHidden/>
    <w:rsid w:val="00E877A2"/>
    <w:pPr>
      <w:spacing w:after="0" w:line="240" w:lineRule="auto"/>
    </w:pPr>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907155362">
      <w:bodyDiv w:val="1"/>
      <w:marLeft w:val="0"/>
      <w:marRight w:val="0"/>
      <w:marTop w:val="0"/>
      <w:marBottom w:val="0"/>
      <w:divBdr>
        <w:top w:val="none" w:sz="0" w:space="0" w:color="auto"/>
        <w:left w:val="none" w:sz="0" w:space="0" w:color="auto"/>
        <w:bottom w:val="none" w:sz="0" w:space="0" w:color="auto"/>
        <w:right w:val="none" w:sz="0" w:space="0" w:color="auto"/>
      </w:divBdr>
    </w:div>
    <w:div w:id="1041517172">
      <w:bodyDiv w:val="1"/>
      <w:marLeft w:val="0"/>
      <w:marRight w:val="0"/>
      <w:marTop w:val="0"/>
      <w:marBottom w:val="0"/>
      <w:divBdr>
        <w:top w:val="none" w:sz="0" w:space="0" w:color="auto"/>
        <w:left w:val="none" w:sz="0" w:space="0" w:color="auto"/>
        <w:bottom w:val="none" w:sz="0" w:space="0" w:color="auto"/>
        <w:right w:val="none" w:sz="0" w:space="0" w:color="auto"/>
      </w:divBdr>
    </w:div>
    <w:div w:id="159481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99643D936D4E47A5342714938B2A20" ma:contentTypeVersion="15" ma:contentTypeDescription="Create a new document." ma:contentTypeScope="" ma:versionID="3731656ddc70ecdb08b3d44daeeef6cb">
  <xsd:schema xmlns:xsd="http://www.w3.org/2001/XMLSchema" xmlns:xs="http://www.w3.org/2001/XMLSchema" xmlns:p="http://schemas.microsoft.com/office/2006/metadata/properties" xmlns:ns2="64a9b943-778c-4da0-895c-1de9f18f38e7" xmlns:ns3="c4a1bbe1-1e68-4741-8027-d71b7a42596c" targetNamespace="http://schemas.microsoft.com/office/2006/metadata/properties" ma:root="true" ma:fieldsID="af4776d3ac96fbb514e2c245ccb38da6" ns2:_="" ns3:_="">
    <xsd:import namespace="64a9b943-778c-4da0-895c-1de9f18f38e7"/>
    <xsd:import namespace="c4a1bbe1-1e68-4741-8027-d71b7a4259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Status" minOccurs="0"/>
                <xsd:element ref="ns3:_Flow_SignoffStatu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9b943-778c-4da0-895c-1de9f18f38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a1bbe1-1e68-4741-8027-d71b7a425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5" nillable="true" ma:displayName="Status" ma:format="Dropdown" ma:internalName="Status">
      <xsd:simpleType>
        <xsd:restriction base="dms:Choice">
          <xsd:enumeration value="Draft"/>
          <xsd:enumeration value="Revision"/>
          <xsd:enumeration value="Choice 3"/>
        </xsd:restriction>
      </xsd:simpleType>
    </xsd:element>
    <xsd:element name="_Flow_SignoffStatus" ma:index="16" nillable="true" ma:displayName="Sign-off status" ma:internalName="Sign_x002d_off_x0020_status">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tatus xmlns="c4a1bbe1-1e68-4741-8027-d71b7a42596c" xsi:nil="true"/>
    <_Flow_SignoffStatus xmlns="c4a1bbe1-1e68-4741-8027-d71b7a42596c" xsi:nil="true"/>
    <lcf76f155ced4ddcb4097134ff3c332f xmlns="c4a1bbe1-1e68-4741-8027-d71b7a42596c">
      <Terms xmlns="http://schemas.microsoft.com/office/infopath/2007/PartnerControls"/>
    </lcf76f155ced4ddcb4097134ff3c332f>
    <_dlc_DocId xmlns="64a9b943-778c-4da0-895c-1de9f18f38e7">CDMJRFZTTNCX-1387811459-6612</_dlc_DocId>
    <_dlc_DocIdUrl xmlns="64a9b943-778c-4da0-895c-1de9f18f38e7">
      <Url>https://abgov.sharepoint.com/sites/S500D20-PAB/_layouts/15/DocIdRedir.aspx?ID=CDMJRFZTTNCX-1387811459-6612</Url>
      <Description>CDMJRFZTTNCX-1387811459-6612</Description>
    </_dlc_DocIdUrl>
  </documentManagement>
</p:properties>
</file>

<file path=customXml/itemProps1.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customXml/itemProps2.xml><?xml version="1.0" encoding="utf-8"?>
<ds:datastoreItem xmlns:ds="http://schemas.openxmlformats.org/officeDocument/2006/customXml" ds:itemID="{F9E72A86-08CC-48A5-AB3F-DFF11DA70FB4}">
  <ds:schemaRefs>
    <ds:schemaRef ds:uri="http://schemas.microsoft.com/sharepoint/v3/contenttype/forms"/>
  </ds:schemaRefs>
</ds:datastoreItem>
</file>

<file path=customXml/itemProps3.xml><?xml version="1.0" encoding="utf-8"?>
<ds:datastoreItem xmlns:ds="http://schemas.openxmlformats.org/officeDocument/2006/customXml" ds:itemID="{2C69291A-83D6-472E-BA09-390E8F396BAA}">
  <ds:schemaRefs>
    <ds:schemaRef ds:uri="http://schemas.microsoft.com/sharepoint/events"/>
  </ds:schemaRefs>
</ds:datastoreItem>
</file>

<file path=customXml/itemProps4.xml><?xml version="1.0" encoding="utf-8"?>
<ds:datastoreItem xmlns:ds="http://schemas.openxmlformats.org/officeDocument/2006/customXml" ds:itemID="{937220DB-28AE-4FC0-ACD1-D0EB94A9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9b943-778c-4da0-895c-1de9f18f38e7"/>
    <ds:schemaRef ds:uri="c4a1bbe1-1e68-4741-8027-d71b7a425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73EA7F-4369-4902-A731-D9CFC3C07131}">
  <ds:schemaRefs>
    <ds:schemaRef ds:uri="http://purl.org/dc/dcmitype/"/>
    <ds:schemaRef ds:uri="http://schemas.microsoft.com/office/2006/documentManagement/types"/>
    <ds:schemaRef ds:uri="c4a1bbe1-1e68-4741-8027-d71b7a42596c"/>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64a9b943-778c-4da0-895c-1de9f18f38e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of Alberta</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 Consent</dc:title>
  <dc:subject>Fact Sheet Consent</dc:subject>
  <dc:creator>Government of Alberta</dc:creator>
  <cp:keywords>Security Classification - PUBLIC</cp:keywords>
  <dc:description/>
  <cp:revision>2</cp:revision>
  <cp:lastPrinted>2020-03-13T15:13:00Z</cp:lastPrinted>
  <dcterms:created xsi:type="dcterms:W3CDTF">2026-01-05T22:13:00Z</dcterms:created>
  <dcterms:modified xsi:type="dcterms:W3CDTF">2026-01-05T22:13:00Z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0x010100A799643D936D4E47A5342714938B2A20</vt:lpwstr>
  </property>
  <property fmtid="{D5CDD505-2E9C-101B-9397-08002B2CF9AE}" pid="3" name="h5c22b25fd914590af6f7504dd8d5e82">
    <vt:lpwstr>No|7a3957b4-6333-4b3f-aca5-11043f0480fb</vt:lpwstr>
  </property>
  <property fmtid="{D5CDD505-2E9C-101B-9397-08002B2CF9AE}" pid="4" name="TaxCatchAll">
    <vt:lpwstr>1;#No|7a3957b4-6333-4b3f-aca5-11043f0480fb</vt:lpwstr>
  </property>
  <property fmtid="{D5CDD505-2E9C-101B-9397-08002B2CF9AE}" pid="5" name="_dlc_DocIdItemGuid">
    <vt:lpwstr>55a904ab-faa7-4c8f-838d-a280f27e9aa5</vt:lpwstr>
  </property>
  <property fmtid="{D5CDD505-2E9C-101B-9397-08002B2CF9AE}" pid="6" name="MediaServiceImageTags">
    <vt:lpwstr/>
  </property>
  <property fmtid="{D5CDD505-2E9C-101B-9397-08002B2CF9AE}" pid="7" name="e4e1391327164fcf9b36427592ef5372">
    <vt:lpwstr/>
  </property>
  <property fmtid="{D5CDD505-2E9C-101B-9397-08002B2CF9AE}" pid="8" name="iec6cfa028bf4e91bd7258a6733aefa5">
    <vt:lpwstr/>
  </property>
  <property fmtid="{D5CDD505-2E9C-101B-9397-08002B2CF9AE}" pid="9" name="Organization_x0020_GoA">
    <vt:lpwstr/>
  </property>
  <property fmtid="{D5CDD505-2E9C-101B-9397-08002B2CF9AE}" pid="10" name="Closure_x0020_Criteria_x0020_Met">
    <vt:lpwstr>1;#No|7a3957b4-6333-4b3f-aca5-11043f0480fb</vt:lpwstr>
  </property>
  <property fmtid="{D5CDD505-2E9C-101B-9397-08002B2CF9AE}" pid="11" name="Status_x0020_GoA">
    <vt:lpwstr/>
  </property>
  <property fmtid="{D5CDD505-2E9C-101B-9397-08002B2CF9AE}" pid="12" name="e14f78495b6d4881b0a4f259bbfaac0a">
    <vt:lpwstr/>
  </property>
  <property fmtid="{D5CDD505-2E9C-101B-9397-08002B2CF9AE}" pid="13" name="Document_x0020_Type_x0020_GoA">
    <vt:lpwstr/>
  </property>
  <property fmtid="{D5CDD505-2E9C-101B-9397-08002B2CF9AE}" pid="14" name="Function_x0020_GoA">
    <vt:lpwstr/>
  </property>
  <property fmtid="{D5CDD505-2E9C-101B-9397-08002B2CF9AE}" pid="15" name="b10e50595339447db3b0d16aff0e3d79">
    <vt:lpwstr/>
  </property>
  <property fmtid="{D5CDD505-2E9C-101B-9397-08002B2CF9AE}" pid="16" name="Closure Criteria Met">
    <vt:lpwstr>1;#No|7a3957b4-6333-4b3f-aca5-11043f0480fb</vt:lpwstr>
  </property>
  <property fmtid="{D5CDD505-2E9C-101B-9397-08002B2CF9AE}" pid="17" name="Organization GoA">
    <vt:lpwstr/>
  </property>
  <property fmtid="{D5CDD505-2E9C-101B-9397-08002B2CF9AE}" pid="18" name="Document Type GoA">
    <vt:lpwstr/>
  </property>
  <property fmtid="{D5CDD505-2E9C-101B-9397-08002B2CF9AE}" pid="19" name="Status GoA">
    <vt:lpwstr/>
  </property>
  <property fmtid="{D5CDD505-2E9C-101B-9397-08002B2CF9AE}" pid="20" name="Function GoA">
    <vt:lpwstr/>
  </property>
  <property fmtid="{D5CDD505-2E9C-101B-9397-08002B2CF9AE}" pid="21" name="SaveLocal">
    <vt:bool>true</vt:bool>
  </property>
  <property fmtid="{D5CDD505-2E9C-101B-9397-08002B2CF9AE}" pid="22" name="docLang">
    <vt:lpwstr>en</vt:lpwstr>
  </property>
  <property fmtid="{D5CDD505-2E9C-101B-9397-08002B2CF9AE}" pid="23" name="MSIP_Label_defa4170-0d19-0005-0004-bc88714345d2_Enabled">
    <vt:lpwstr>true</vt:lpwstr>
  </property>
  <property fmtid="{D5CDD505-2E9C-101B-9397-08002B2CF9AE}" pid="24" name="MSIP_Label_defa4170-0d19-0005-0004-bc88714345d2_SetDate">
    <vt:lpwstr>2025-10-27T20:03:48Z</vt:lpwstr>
  </property>
  <property fmtid="{D5CDD505-2E9C-101B-9397-08002B2CF9AE}" pid="25" name="MSIP_Label_defa4170-0d19-0005-0004-bc88714345d2_Method">
    <vt:lpwstr>Standard</vt:lpwstr>
  </property>
  <property fmtid="{D5CDD505-2E9C-101B-9397-08002B2CF9AE}" pid="26" name="MSIP_Label_defa4170-0d19-0005-0004-bc88714345d2_Name">
    <vt:lpwstr>defa4170-0d19-0005-0004-bc88714345d2</vt:lpwstr>
  </property>
  <property fmtid="{D5CDD505-2E9C-101B-9397-08002B2CF9AE}" pid="27" name="MSIP_Label_defa4170-0d19-0005-0004-bc88714345d2_SiteId">
    <vt:lpwstr>697c94c7-4045-438f-ba38-311454171aae</vt:lpwstr>
  </property>
  <property fmtid="{D5CDD505-2E9C-101B-9397-08002B2CF9AE}" pid="28" name="MSIP_Label_defa4170-0d19-0005-0004-bc88714345d2_ActionId">
    <vt:lpwstr>0685283e-71b2-4e82-9202-cd2e939f80e9</vt:lpwstr>
  </property>
  <property fmtid="{D5CDD505-2E9C-101B-9397-08002B2CF9AE}" pid="29" name="MSIP_Label_defa4170-0d19-0005-0004-bc88714345d2_ContentBits">
    <vt:lpwstr>0</vt:lpwstr>
  </property>
  <property fmtid="{D5CDD505-2E9C-101B-9397-08002B2CF9AE}" pid="30" name="MSIP_Label_defa4170-0d19-0005-0004-bc88714345d2_Tag">
    <vt:lpwstr>10, 3, 0, 1</vt:lpwstr>
  </property>
  <property fmtid="{D5CDD505-2E9C-101B-9397-08002B2CF9AE}" pid="31" name="ClassificationContentMarkingFooterShapeIds">
    <vt:lpwstr>10056339,5c2069e4,524d8205</vt:lpwstr>
  </property>
  <property fmtid="{D5CDD505-2E9C-101B-9397-08002B2CF9AE}" pid="32" name="ClassificationContentMarkingFooterFontProps">
    <vt:lpwstr>#000000,11,Calibri</vt:lpwstr>
  </property>
  <property fmtid="{D5CDD505-2E9C-101B-9397-08002B2CF9AE}" pid="33" name="ClassificationContentMarkingFooterText">
    <vt:lpwstr>Classification: Public</vt:lpwstr>
  </property>
  <property fmtid="{D5CDD505-2E9C-101B-9397-08002B2CF9AE}" pid="34" name="MSIP_Label_60c3ebf9-3c2f-4745-a75f-55836bdb736f_Enabled">
    <vt:lpwstr>true</vt:lpwstr>
  </property>
  <property fmtid="{D5CDD505-2E9C-101B-9397-08002B2CF9AE}" pid="35" name="MSIP_Label_60c3ebf9-3c2f-4745-a75f-55836bdb736f_SetDate">
    <vt:lpwstr>2026-01-05T22:04:41Z</vt:lpwstr>
  </property>
  <property fmtid="{D5CDD505-2E9C-101B-9397-08002B2CF9AE}" pid="36" name="MSIP_Label_60c3ebf9-3c2f-4745-a75f-55836bdb736f_Method">
    <vt:lpwstr>Privileged</vt:lpwstr>
  </property>
  <property fmtid="{D5CDD505-2E9C-101B-9397-08002B2CF9AE}" pid="37" name="MSIP_Label_60c3ebf9-3c2f-4745-a75f-55836bdb736f_Name">
    <vt:lpwstr>Public</vt:lpwstr>
  </property>
  <property fmtid="{D5CDD505-2E9C-101B-9397-08002B2CF9AE}" pid="38" name="MSIP_Label_60c3ebf9-3c2f-4745-a75f-55836bdb736f_SiteId">
    <vt:lpwstr>2bb51c06-af9b-42c5-8bf5-3c3b7b10850b</vt:lpwstr>
  </property>
  <property fmtid="{D5CDD505-2E9C-101B-9397-08002B2CF9AE}" pid="39" name="MSIP_Label_60c3ebf9-3c2f-4745-a75f-55836bdb736f_ActionId">
    <vt:lpwstr>e2ee3332-de14-4ae2-bb6e-757792638a0f</vt:lpwstr>
  </property>
  <property fmtid="{D5CDD505-2E9C-101B-9397-08002B2CF9AE}" pid="40" name="MSIP_Label_60c3ebf9-3c2f-4745-a75f-55836bdb736f_ContentBits">
    <vt:lpwstr>2</vt:lpwstr>
  </property>
  <property fmtid="{D5CDD505-2E9C-101B-9397-08002B2CF9AE}" pid="41" name="MSIP_Label_60c3ebf9-3c2f-4745-a75f-55836bdb736f_Tag">
    <vt:lpwstr>10, 0, 1, 1</vt:lpwstr>
  </property>
</Properties>
</file>