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2" w:rsidRDefault="00C93C87" w:rsidP="008A0857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  <w:rPr>
          <w:lang w:val="de-DE"/>
        </w:rPr>
      </w:pPr>
      <w:bookmarkStart w:id="0" w:name="_GoBack"/>
      <w:bookmarkEnd w:id="0"/>
      <w:r>
        <w:tab/>
      </w:r>
      <w:r w:rsidR="003A6E62">
        <w:t>8</w:t>
      </w:r>
      <w:r w:rsidR="003A6E62" w:rsidRPr="00D06047">
        <w:rPr>
          <w:vertAlign w:val="superscript"/>
        </w:rPr>
        <w:t>th</w:t>
      </w:r>
      <w:r w:rsidR="003A6E62">
        <w:t xml:space="preserve"> floor Federal Building</w:t>
      </w:r>
    </w:p>
    <w:p w:rsidR="003A6E62" w:rsidRDefault="003A6E62" w:rsidP="008A0857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rPr>
          <w:lang w:val="de-DE"/>
        </w:rPr>
        <w:tab/>
      </w:r>
      <w:r>
        <w:t>9820 – 107 Street</w:t>
      </w:r>
    </w:p>
    <w:p w:rsidR="003A6E62" w:rsidRDefault="006C03B3" w:rsidP="008A0857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  <w:rPr>
          <w:lang w:val="de-D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24529" cy="400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E62">
        <w:tab/>
      </w:r>
      <w:r w:rsidR="003A6E62" w:rsidRPr="00E62995">
        <w:rPr>
          <w:lang w:val="de-DE"/>
        </w:rPr>
        <w:t xml:space="preserve">Edmonton, Alberta  T5K </w:t>
      </w:r>
      <w:r w:rsidR="003A6E62">
        <w:rPr>
          <w:lang w:val="de-DE"/>
        </w:rPr>
        <w:t>1E7</w:t>
      </w:r>
    </w:p>
    <w:p w:rsidR="003A6E62" w:rsidRDefault="003A6E62" w:rsidP="008A0857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rPr>
          <w:lang w:val="de-DE"/>
        </w:rPr>
        <w:tab/>
      </w:r>
      <w:r w:rsidRPr="005003EA">
        <w:t>Telephone</w:t>
      </w:r>
      <w:r>
        <w:t xml:space="preserve">: </w:t>
      </w:r>
      <w:r w:rsidRPr="005003EA">
        <w:t xml:space="preserve">(780) </w:t>
      </w:r>
      <w:r>
        <w:t>644-5006</w:t>
      </w:r>
    </w:p>
    <w:p w:rsidR="003A6E62" w:rsidRPr="003A6E62" w:rsidRDefault="003A6E62" w:rsidP="008A0857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tab/>
        <w:t xml:space="preserve">Email: </w:t>
      </w:r>
      <w:hyperlink r:id="rId8" w:history="1">
        <w:r w:rsidRPr="002B1DD1">
          <w:rPr>
            <w:rStyle w:val="Hyperlink"/>
          </w:rPr>
          <w:t>FIPolicy@gov.ab.ca</w:t>
        </w:r>
      </w:hyperlink>
    </w:p>
    <w:p w:rsidR="001D00FF" w:rsidRDefault="003A6E62" w:rsidP="008A0857">
      <w:pPr>
        <w:pStyle w:val="BodyText2"/>
        <w:pBdr>
          <w:bottom w:val="single" w:sz="4" w:space="1" w:color="auto"/>
        </w:pBdr>
        <w:tabs>
          <w:tab w:val="clear" w:pos="86"/>
          <w:tab w:val="clear" w:pos="2160"/>
          <w:tab w:val="clear" w:pos="3960"/>
          <w:tab w:val="clear" w:pos="6480"/>
          <w:tab w:val="clear" w:pos="7380"/>
          <w:tab w:val="left" w:pos="7470"/>
        </w:tabs>
      </w:pPr>
      <w:r>
        <w:rPr>
          <w:lang w:val="de-DE"/>
        </w:rPr>
        <w:tab/>
      </w:r>
      <w:hyperlink r:id="rId9" w:history="1">
        <w:r w:rsidR="00C93C87" w:rsidRPr="002B1DD1">
          <w:rPr>
            <w:rStyle w:val="Hyperlink"/>
            <w:lang w:val="de-DE"/>
          </w:rPr>
          <w:t>www.finance.alberta.ca</w:t>
        </w:r>
      </w:hyperlink>
    </w:p>
    <w:p w:rsidR="001D00FF" w:rsidRPr="006175F0" w:rsidRDefault="002F15AB" w:rsidP="006C03B3">
      <w:pPr>
        <w:pStyle w:val="BodyText2"/>
        <w:tabs>
          <w:tab w:val="clear" w:pos="2160"/>
          <w:tab w:val="right" w:pos="1710"/>
        </w:tabs>
        <w:spacing w:after="120"/>
        <w:rPr>
          <w:sz w:val="22"/>
          <w:szCs w:val="22"/>
        </w:rPr>
      </w:pPr>
      <w:r w:rsidRPr="00966584">
        <w:rPr>
          <w:bCs/>
          <w:sz w:val="22"/>
          <w:szCs w:val="22"/>
        </w:rPr>
        <w:t xml:space="preserve">Financial Institutions </w:t>
      </w:r>
      <w:r w:rsidR="006C03B3">
        <w:rPr>
          <w:bCs/>
          <w:sz w:val="22"/>
          <w:szCs w:val="22"/>
        </w:rPr>
        <w:t>–</w:t>
      </w:r>
      <w:r w:rsidRPr="00966584">
        <w:rPr>
          <w:bCs/>
          <w:sz w:val="22"/>
          <w:szCs w:val="22"/>
        </w:rPr>
        <w:t xml:space="preserve"> Policy</w:t>
      </w:r>
      <w:r w:rsidR="006C03B3">
        <w:rPr>
          <w:bCs/>
          <w:sz w:val="22"/>
          <w:szCs w:val="22"/>
        </w:rPr>
        <w:t>, Treasury Board and Finance</w:t>
      </w:r>
    </w:p>
    <w:p w:rsidR="00997C72" w:rsidRDefault="00997C72" w:rsidP="00997C72">
      <w:pPr>
        <w:pStyle w:val="BodyText2"/>
        <w:tabs>
          <w:tab w:val="clear" w:pos="2160"/>
          <w:tab w:val="right" w:pos="1710"/>
        </w:tabs>
        <w:rPr>
          <w:sz w:val="22"/>
          <w:szCs w:val="22"/>
        </w:rPr>
      </w:pPr>
    </w:p>
    <w:p w:rsidR="00301B81" w:rsidRPr="003A6E62" w:rsidRDefault="00301B81" w:rsidP="00997C72">
      <w:pPr>
        <w:pStyle w:val="BodyText2"/>
        <w:tabs>
          <w:tab w:val="clear" w:pos="2160"/>
          <w:tab w:val="right" w:pos="1710"/>
        </w:tabs>
        <w:rPr>
          <w:sz w:val="22"/>
          <w:szCs w:val="22"/>
        </w:rPr>
      </w:pPr>
    </w:p>
    <w:p w:rsidR="00997C72" w:rsidRPr="00504E17" w:rsidRDefault="003A6E62" w:rsidP="00997C72">
      <w:pPr>
        <w:pStyle w:val="BodyText2"/>
        <w:tabs>
          <w:tab w:val="clear" w:pos="86"/>
          <w:tab w:val="clear" w:pos="2160"/>
          <w:tab w:val="clear" w:pos="3960"/>
          <w:tab w:val="clear" w:pos="6480"/>
          <w:tab w:val="clear" w:pos="7380"/>
        </w:tabs>
        <w:rPr>
          <w:b/>
          <w:sz w:val="22"/>
          <w:szCs w:val="22"/>
          <w:u w:val="single"/>
        </w:rPr>
      </w:pPr>
      <w:r w:rsidRPr="00B0730C">
        <w:rPr>
          <w:b/>
          <w:sz w:val="22"/>
          <w:szCs w:val="22"/>
        </w:rPr>
        <w:t xml:space="preserve">Re: </w:t>
      </w:r>
      <w:r w:rsidR="00AD229F" w:rsidRPr="00B0730C">
        <w:rPr>
          <w:b/>
          <w:sz w:val="22"/>
          <w:szCs w:val="22"/>
        </w:rPr>
        <w:t xml:space="preserve"> </w:t>
      </w:r>
      <w:r w:rsidRPr="00504E17">
        <w:rPr>
          <w:b/>
          <w:sz w:val="22"/>
          <w:szCs w:val="22"/>
          <w:u w:val="single"/>
        </w:rPr>
        <w:t>Fee Schedule</w:t>
      </w:r>
    </w:p>
    <w:p w:rsidR="00A61850" w:rsidRDefault="00A61850"/>
    <w:p w:rsidR="00A61850" w:rsidRDefault="00A61850">
      <w:r>
        <w:t>The following fees are payable</w:t>
      </w:r>
      <w:r w:rsidR="005902E8">
        <w:t xml:space="preserve"> to the </w:t>
      </w:r>
      <w:r w:rsidR="00DB76AB">
        <w:t>Government of Alberta</w:t>
      </w:r>
      <w:r w:rsidR="005902E8">
        <w:t xml:space="preserve"> </w:t>
      </w:r>
      <w:r>
        <w:t>for the following services under the Act:</w:t>
      </w:r>
    </w:p>
    <w:p w:rsidR="00A61850" w:rsidRDefault="00A61850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To process an application for letters patent- $5</w:t>
      </w:r>
      <w:r w:rsidR="001A18C1">
        <w:t>,</w:t>
      </w:r>
      <w:r>
        <w:t>000</w:t>
      </w:r>
    </w:p>
    <w:p w:rsidR="00A61850" w:rsidRDefault="00A61850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To process an application for supplementary letters patent</w:t>
      </w:r>
    </w:p>
    <w:p w:rsidR="00A61850" w:rsidRDefault="00A61850" w:rsidP="001A18C1">
      <w:pPr>
        <w:numPr>
          <w:ilvl w:val="1"/>
          <w:numId w:val="6"/>
        </w:numPr>
        <w:tabs>
          <w:tab w:val="clear" w:pos="1440"/>
        </w:tabs>
        <w:ind w:left="720"/>
      </w:pPr>
      <w:r>
        <w:t>under section 17(1)(b) or (c) of the Act or in the case of an amalgamation- $2</w:t>
      </w:r>
      <w:r w:rsidR="001A18C1">
        <w:t>,</w:t>
      </w:r>
      <w:r>
        <w:t>000</w:t>
      </w:r>
    </w:p>
    <w:p w:rsidR="00A61850" w:rsidRDefault="00A61850" w:rsidP="001A18C1">
      <w:pPr>
        <w:numPr>
          <w:ilvl w:val="1"/>
          <w:numId w:val="6"/>
        </w:numPr>
        <w:tabs>
          <w:tab w:val="clear" w:pos="1440"/>
        </w:tabs>
        <w:ind w:left="720"/>
      </w:pPr>
      <w:r>
        <w:t>under section 17(1)(a) or (d) to (l) of the Act- $500</w:t>
      </w:r>
    </w:p>
    <w:p w:rsidR="00A61850" w:rsidRDefault="00A61850" w:rsidP="0099115F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To process an application for registration- $1</w:t>
      </w:r>
      <w:r w:rsidR="001A18C1">
        <w:t>,</w:t>
      </w:r>
      <w:r>
        <w:t>000</w:t>
      </w:r>
    </w:p>
    <w:p w:rsidR="00A61850" w:rsidRDefault="00A61850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To process an application for a change to terms, conditions or restrictions to which a corporation's registration is subject- $1</w:t>
      </w:r>
      <w:r w:rsidR="001A18C1">
        <w:t>,</w:t>
      </w:r>
      <w:r>
        <w:t>000</w:t>
      </w:r>
    </w:p>
    <w:p w:rsidR="00A61850" w:rsidRDefault="00A61850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To process an application to change the borrowing multiple limit referred to in section 15 of the loan and trust corporations regulation- $1</w:t>
      </w:r>
      <w:r w:rsidR="001A18C1">
        <w:t>,</w:t>
      </w:r>
      <w:r>
        <w:t>000</w:t>
      </w:r>
    </w:p>
    <w:p w:rsidR="00A61850" w:rsidRDefault="00A61850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To process an application for the </w:t>
      </w:r>
      <w:r w:rsidR="00567141">
        <w:t>M</w:t>
      </w:r>
      <w:r>
        <w:t>inister's consent under section 77 of the act to transfer or issue shares- $1</w:t>
      </w:r>
      <w:r w:rsidR="001A18C1">
        <w:t>,</w:t>
      </w:r>
      <w:r>
        <w:t xml:space="preserve">000 </w:t>
      </w:r>
    </w:p>
    <w:p w:rsidR="00A61850" w:rsidRDefault="00A61850" w:rsidP="0099115F"/>
    <w:p w:rsidR="00A61850" w:rsidRDefault="00A6185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For any other service provided by the </w:t>
      </w:r>
      <w:r w:rsidR="00567141">
        <w:t>M</w:t>
      </w:r>
      <w:r>
        <w:t xml:space="preserve">inister that is similar to a service provided by the registrar under the business corporations act, the same fee is payable as is payable under the </w:t>
      </w:r>
      <w:r w:rsidR="00567141" w:rsidRPr="00567141">
        <w:rPr>
          <w:i/>
        </w:rPr>
        <w:t>B</w:t>
      </w:r>
      <w:r w:rsidRPr="00567141">
        <w:rPr>
          <w:i/>
        </w:rPr>
        <w:t xml:space="preserve">usiness </w:t>
      </w:r>
      <w:r w:rsidR="00567141" w:rsidRPr="00567141">
        <w:rPr>
          <w:i/>
        </w:rPr>
        <w:t>C</w:t>
      </w:r>
      <w:r w:rsidRPr="00567141">
        <w:rPr>
          <w:i/>
        </w:rPr>
        <w:t xml:space="preserve">orporations </w:t>
      </w:r>
      <w:r w:rsidR="00567141" w:rsidRPr="00567141">
        <w:rPr>
          <w:i/>
        </w:rPr>
        <w:t>Act</w:t>
      </w:r>
      <w:r w:rsidR="00567141">
        <w:t xml:space="preserve"> </w:t>
      </w:r>
      <w:r>
        <w:t>(</w:t>
      </w:r>
      <w:r w:rsidR="00567141">
        <w:t>A</w:t>
      </w:r>
      <w:r>
        <w:t>lta. Reg. 27/82).</w:t>
      </w:r>
    </w:p>
    <w:p w:rsidR="00A61850" w:rsidRDefault="00A61850"/>
    <w:p w:rsidR="00E53AE3" w:rsidRDefault="00A61850" w:rsidP="003E19EF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Every registered corporation shall on or before </w:t>
      </w:r>
      <w:r w:rsidR="005902E8">
        <w:t>J</w:t>
      </w:r>
      <w:r>
        <w:t xml:space="preserve">une 30 in every year pay an annual fee determined in accordance with </w:t>
      </w:r>
      <w:r w:rsidR="00BB7413">
        <w:t>the following:</w:t>
      </w:r>
      <w:r w:rsidR="00BB7413"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520"/>
      </w:tblGrid>
      <w:tr w:rsidR="00E53AE3" w:rsidTr="00BB7413">
        <w:tc>
          <w:tcPr>
            <w:tcW w:w="6660" w:type="dxa"/>
          </w:tcPr>
          <w:p w:rsidR="00BB7413" w:rsidRDefault="00E53AE3" w:rsidP="00BB7413">
            <w:pPr>
              <w:pStyle w:val="ListParagraph"/>
              <w:numPr>
                <w:ilvl w:val="0"/>
                <w:numId w:val="9"/>
              </w:numPr>
              <w:ind w:left="255"/>
            </w:pPr>
            <w:r>
              <w:t>where the assets of the corporation do not exceed $50,000,000, the fee is</w:t>
            </w:r>
          </w:p>
        </w:tc>
        <w:tc>
          <w:tcPr>
            <w:tcW w:w="2520" w:type="dxa"/>
            <w:vAlign w:val="bottom"/>
          </w:tcPr>
          <w:p w:rsidR="00E53AE3" w:rsidRDefault="003570DE" w:rsidP="00BB7413">
            <w:pPr>
              <w:ind w:left="1490"/>
            </w:pPr>
            <w:r>
              <w:t>$3,000</w:t>
            </w:r>
          </w:p>
        </w:tc>
      </w:tr>
      <w:tr w:rsidR="00E53AE3" w:rsidTr="00BB7413">
        <w:tc>
          <w:tcPr>
            <w:tcW w:w="6660" w:type="dxa"/>
          </w:tcPr>
          <w:p w:rsidR="00E53AE3" w:rsidRDefault="00E53AE3" w:rsidP="00E53AE3">
            <w:pPr>
              <w:pStyle w:val="ListParagraph"/>
              <w:numPr>
                <w:ilvl w:val="0"/>
                <w:numId w:val="9"/>
              </w:numPr>
              <w:ind w:left="255"/>
            </w:pPr>
            <w:r>
              <w:t>where the assets of the corporation exceed $50,000,000 but do not exceed $100,000,000, the fee is</w:t>
            </w:r>
          </w:p>
        </w:tc>
        <w:tc>
          <w:tcPr>
            <w:tcW w:w="2520" w:type="dxa"/>
            <w:vAlign w:val="bottom"/>
          </w:tcPr>
          <w:p w:rsidR="00E53AE3" w:rsidRDefault="003570DE" w:rsidP="00BB7413">
            <w:pPr>
              <w:ind w:left="1490"/>
            </w:pPr>
            <w:r>
              <w:t>$4</w:t>
            </w:r>
            <w:r w:rsidR="006A4CB1">
              <w:t>,</w:t>
            </w:r>
            <w:r>
              <w:t>000</w:t>
            </w:r>
          </w:p>
        </w:tc>
      </w:tr>
      <w:tr w:rsidR="00E53AE3" w:rsidTr="00BB7413">
        <w:tc>
          <w:tcPr>
            <w:tcW w:w="6660" w:type="dxa"/>
          </w:tcPr>
          <w:p w:rsidR="00E53AE3" w:rsidRDefault="00E53AE3" w:rsidP="00E53AE3">
            <w:pPr>
              <w:pStyle w:val="ListParagraph"/>
              <w:numPr>
                <w:ilvl w:val="0"/>
                <w:numId w:val="9"/>
              </w:numPr>
              <w:ind w:left="255"/>
            </w:pPr>
            <w:r>
              <w:t>where the assets of the corporation exceed $100,000,000 but do not exceed $500,000,000, the fee is</w:t>
            </w:r>
          </w:p>
        </w:tc>
        <w:tc>
          <w:tcPr>
            <w:tcW w:w="2520" w:type="dxa"/>
            <w:vAlign w:val="bottom"/>
          </w:tcPr>
          <w:p w:rsidR="00E53AE3" w:rsidRDefault="003570DE" w:rsidP="00BB7413">
            <w:pPr>
              <w:ind w:left="1490"/>
            </w:pPr>
            <w:r>
              <w:t>$5</w:t>
            </w:r>
            <w:r w:rsidR="006A4CB1">
              <w:t>,</w:t>
            </w:r>
            <w:r>
              <w:t>000</w:t>
            </w:r>
          </w:p>
        </w:tc>
      </w:tr>
      <w:tr w:rsidR="00E53AE3" w:rsidTr="00BB7413">
        <w:tc>
          <w:tcPr>
            <w:tcW w:w="6660" w:type="dxa"/>
          </w:tcPr>
          <w:p w:rsidR="00E53AE3" w:rsidRDefault="00E53AE3" w:rsidP="00E53AE3">
            <w:pPr>
              <w:pStyle w:val="ListParagraph"/>
              <w:numPr>
                <w:ilvl w:val="0"/>
                <w:numId w:val="9"/>
              </w:numPr>
              <w:ind w:left="255"/>
            </w:pPr>
            <w:r>
              <w:t>where the assets of the corporation exceed $500,000,000 but do not exceed $1,000,000,000, the fee is</w:t>
            </w:r>
          </w:p>
        </w:tc>
        <w:tc>
          <w:tcPr>
            <w:tcW w:w="2520" w:type="dxa"/>
            <w:vAlign w:val="bottom"/>
          </w:tcPr>
          <w:p w:rsidR="00E53AE3" w:rsidRDefault="003570DE" w:rsidP="00BB7413">
            <w:pPr>
              <w:ind w:left="1490"/>
            </w:pPr>
            <w:r>
              <w:t>$6</w:t>
            </w:r>
            <w:r w:rsidR="006A4CB1">
              <w:t>,</w:t>
            </w:r>
            <w:r>
              <w:t>000</w:t>
            </w:r>
          </w:p>
        </w:tc>
      </w:tr>
      <w:tr w:rsidR="00E53AE3" w:rsidTr="00BB7413">
        <w:tc>
          <w:tcPr>
            <w:tcW w:w="6660" w:type="dxa"/>
          </w:tcPr>
          <w:p w:rsidR="00E53AE3" w:rsidRDefault="00E53AE3" w:rsidP="00E53AE3">
            <w:pPr>
              <w:pStyle w:val="ListParagraph"/>
              <w:numPr>
                <w:ilvl w:val="0"/>
                <w:numId w:val="9"/>
              </w:numPr>
              <w:ind w:left="255"/>
            </w:pPr>
            <w:r>
              <w:t>where the assets of the corporation exceed $1,000,000,000 but do not exceed $5,000,000,000, the fee is</w:t>
            </w:r>
          </w:p>
        </w:tc>
        <w:tc>
          <w:tcPr>
            <w:tcW w:w="2520" w:type="dxa"/>
            <w:vAlign w:val="bottom"/>
          </w:tcPr>
          <w:p w:rsidR="00E53AE3" w:rsidRDefault="003570DE" w:rsidP="00BB7413">
            <w:pPr>
              <w:ind w:left="1490"/>
            </w:pPr>
            <w:r>
              <w:t>$8</w:t>
            </w:r>
            <w:r w:rsidR="006A4CB1">
              <w:t>,</w:t>
            </w:r>
            <w:r>
              <w:t>000</w:t>
            </w:r>
          </w:p>
        </w:tc>
      </w:tr>
      <w:tr w:rsidR="00E53AE3" w:rsidTr="00BB7413">
        <w:tc>
          <w:tcPr>
            <w:tcW w:w="6660" w:type="dxa"/>
          </w:tcPr>
          <w:p w:rsidR="00E53AE3" w:rsidRDefault="00E53AE3" w:rsidP="00E53AE3">
            <w:pPr>
              <w:pStyle w:val="ListParagraph"/>
              <w:numPr>
                <w:ilvl w:val="0"/>
                <w:numId w:val="9"/>
              </w:numPr>
              <w:ind w:left="255"/>
            </w:pPr>
            <w:r>
              <w:t>where the assets of the corporation exceed $5,000,000,000, the fee is $ 10,000 and $1,000 for every $1,000,000,000 or part thereof in assets in excess of $5,000,000,000</w:t>
            </w:r>
          </w:p>
        </w:tc>
        <w:tc>
          <w:tcPr>
            <w:tcW w:w="2520" w:type="dxa"/>
          </w:tcPr>
          <w:p w:rsidR="00E53AE3" w:rsidRDefault="00E53AE3" w:rsidP="00E53AE3"/>
        </w:tc>
      </w:tr>
    </w:tbl>
    <w:p w:rsidR="00E53AE3" w:rsidRDefault="00E53AE3" w:rsidP="00BB7413"/>
    <w:sectPr w:rsidR="00E53AE3" w:rsidSect="00497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267" w:bottom="446" w:left="1440" w:header="864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45" w:rsidRDefault="005A6A45">
      <w:r>
        <w:separator/>
      </w:r>
    </w:p>
  </w:endnote>
  <w:endnote w:type="continuationSeparator" w:id="0">
    <w:p w:rsidR="005A6A45" w:rsidRDefault="005A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3" w:rsidRDefault="006C0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50" w:rsidRDefault="00A61850">
    <w:pPr>
      <w:pStyle w:val="Footer"/>
      <w:rPr>
        <w:rStyle w:val="PageNumber"/>
        <w:i/>
        <w:sz w:val="20"/>
      </w:rPr>
    </w:pPr>
    <w:r>
      <w:rPr>
        <w:i/>
        <w:sz w:val="20"/>
      </w:rPr>
      <w:t xml:space="preserve">-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B45F4B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NUMPAGES </w:instrText>
    </w:r>
    <w:r>
      <w:rPr>
        <w:rStyle w:val="PageNumber"/>
        <w:i/>
        <w:sz w:val="20"/>
      </w:rPr>
      <w:fldChar w:fldCharType="separate"/>
    </w:r>
    <w:r w:rsidR="00B45F4B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-</w:t>
    </w:r>
  </w:p>
  <w:p w:rsidR="00A61850" w:rsidRDefault="00A61850">
    <w:pPr>
      <w:pStyle w:val="Footer"/>
      <w:rPr>
        <w:i/>
        <w:sz w:val="16"/>
      </w:rPr>
    </w:pP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FILENAME \p </w:instrText>
    </w:r>
    <w:r>
      <w:rPr>
        <w:rStyle w:val="PageNumber"/>
        <w:i/>
        <w:sz w:val="16"/>
      </w:rPr>
      <w:fldChar w:fldCharType="separate"/>
    </w:r>
    <w:r w:rsidR="00497C25">
      <w:rPr>
        <w:rStyle w:val="PageNumber"/>
        <w:i/>
        <w:noProof/>
        <w:sz w:val="16"/>
      </w:rPr>
      <w:t>N:\FI Policy\FI\Administrator\Website\2020 New forms\Forms-Loan-and-Trust-Corporations\loan-trust-corp-form-fee-schedule.docx</w:t>
    </w:r>
    <w:r>
      <w:rPr>
        <w:rStyle w:val="PageNumber"/>
        <w:i/>
        <w:sz w:val="16"/>
      </w:rPr>
      <w:fldChar w:fldCharType="end"/>
    </w:r>
    <w:r>
      <w:rPr>
        <w:rStyle w:val="PageNumber"/>
        <w:i/>
        <w:sz w:val="16"/>
      </w:rPr>
      <w:t xml:space="preserve">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SAVEDATE \@ "MM/dd/yy h:mm AM/PM" </w:instrText>
    </w:r>
    <w:r>
      <w:rPr>
        <w:rStyle w:val="PageNumber"/>
        <w:i/>
        <w:sz w:val="16"/>
      </w:rPr>
      <w:fldChar w:fldCharType="separate"/>
    </w:r>
    <w:r w:rsidR="00B45F4B">
      <w:rPr>
        <w:rStyle w:val="PageNumber"/>
        <w:i/>
        <w:noProof/>
        <w:sz w:val="16"/>
      </w:rPr>
      <w:t>10/01/20 1:00 PM</w:t>
    </w:r>
    <w:r>
      <w:rPr>
        <w:rStyle w:val="PageNumber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3" w:rsidRDefault="006C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45" w:rsidRDefault="005A6A45">
      <w:r>
        <w:separator/>
      </w:r>
    </w:p>
  </w:footnote>
  <w:footnote w:type="continuationSeparator" w:id="0">
    <w:p w:rsidR="005A6A45" w:rsidRDefault="005A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50" w:rsidRDefault="00A618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850" w:rsidRDefault="00A6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3" w:rsidRDefault="006C0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3" w:rsidRDefault="006C0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E1A81"/>
    <w:multiLevelType w:val="hybridMultilevel"/>
    <w:tmpl w:val="ED8805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1EF"/>
    <w:multiLevelType w:val="hybridMultilevel"/>
    <w:tmpl w:val="19228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2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694AB9"/>
    <w:multiLevelType w:val="hybridMultilevel"/>
    <w:tmpl w:val="EB7EF08A"/>
    <w:lvl w:ilvl="0" w:tplc="0B10DC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D6F05"/>
    <w:multiLevelType w:val="singleLevel"/>
    <w:tmpl w:val="ABC8B17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5C2840FF"/>
    <w:multiLevelType w:val="hybridMultilevel"/>
    <w:tmpl w:val="254AE46A"/>
    <w:lvl w:ilvl="0" w:tplc="B2E484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234B8"/>
    <w:multiLevelType w:val="hybridMultilevel"/>
    <w:tmpl w:val="751EA0E4"/>
    <w:lvl w:ilvl="0" w:tplc="1A8C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26591"/>
    <w:multiLevelType w:val="hybridMultilevel"/>
    <w:tmpl w:val="ED8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95"/>
    <w:rsid w:val="001A18C1"/>
    <w:rsid w:val="001D00FF"/>
    <w:rsid w:val="001F2762"/>
    <w:rsid w:val="00213EF9"/>
    <w:rsid w:val="00272AE1"/>
    <w:rsid w:val="002F15AB"/>
    <w:rsid w:val="00301B81"/>
    <w:rsid w:val="003570DE"/>
    <w:rsid w:val="003A6E62"/>
    <w:rsid w:val="00427EB1"/>
    <w:rsid w:val="00497C25"/>
    <w:rsid w:val="004B6653"/>
    <w:rsid w:val="005003EA"/>
    <w:rsid w:val="00501796"/>
    <w:rsid w:val="00504E17"/>
    <w:rsid w:val="00567141"/>
    <w:rsid w:val="005902E8"/>
    <w:rsid w:val="005A6A45"/>
    <w:rsid w:val="006175F0"/>
    <w:rsid w:val="006A4CB1"/>
    <w:rsid w:val="006C03B3"/>
    <w:rsid w:val="007017CC"/>
    <w:rsid w:val="007B6239"/>
    <w:rsid w:val="007D13CA"/>
    <w:rsid w:val="008070F6"/>
    <w:rsid w:val="008670DF"/>
    <w:rsid w:val="008A0857"/>
    <w:rsid w:val="008F6E67"/>
    <w:rsid w:val="00935F9D"/>
    <w:rsid w:val="00966584"/>
    <w:rsid w:val="0099115F"/>
    <w:rsid w:val="00997C72"/>
    <w:rsid w:val="00A328F8"/>
    <w:rsid w:val="00A423AF"/>
    <w:rsid w:val="00A61850"/>
    <w:rsid w:val="00AD229F"/>
    <w:rsid w:val="00B0730C"/>
    <w:rsid w:val="00B45F4B"/>
    <w:rsid w:val="00B86103"/>
    <w:rsid w:val="00BB7413"/>
    <w:rsid w:val="00C24468"/>
    <w:rsid w:val="00C93C87"/>
    <w:rsid w:val="00D06047"/>
    <w:rsid w:val="00DB76AB"/>
    <w:rsid w:val="00DD7164"/>
    <w:rsid w:val="00E0464E"/>
    <w:rsid w:val="00E53AE3"/>
    <w:rsid w:val="00E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1DA62D10-2DBB-40A4-A9A4-D48C0AC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pPr>
      <w:jc w:val="right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86"/>
        <w:tab w:val="right" w:pos="2160"/>
        <w:tab w:val="left" w:pos="3960"/>
        <w:tab w:val="left" w:pos="6480"/>
        <w:tab w:val="left" w:pos="7380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20" w:hanging="360"/>
    </w:pPr>
    <w:rPr>
      <w:color w:val="800080"/>
    </w:rPr>
  </w:style>
  <w:style w:type="paragraph" w:styleId="BodyTextIndent2">
    <w:name w:val="Body Text Indent 2"/>
    <w:basedOn w:val="Normal"/>
    <w:pPr>
      <w:ind w:left="360"/>
    </w:pPr>
    <w:rPr>
      <w:color w:val="800080"/>
    </w:rPr>
  </w:style>
  <w:style w:type="paragraph" w:styleId="BalloonText">
    <w:name w:val="Balloon Text"/>
    <w:basedOn w:val="Normal"/>
    <w:link w:val="BalloonTextChar"/>
    <w:rsid w:val="00AD2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29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53AE3"/>
    <w:pPr>
      <w:ind w:left="720"/>
      <w:contextualSpacing/>
    </w:pPr>
  </w:style>
  <w:style w:type="table" w:styleId="TableGrid">
    <w:name w:val="Table Grid"/>
    <w:basedOn w:val="TableNormal"/>
    <w:rsid w:val="00E5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olicy@gov.ab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ance.albert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and Trust Corporations - Fee Schedule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and Trust Corporations - Fee Schedule</dc:title>
  <dc:subject>Loan and Trust Corporations - Fee Schedule</dc:subject>
  <dc:creator>Financial Institutions - Policy</dc:creator>
  <cp:keywords>financial institutions, fee schedule, loan and trust corporations, fees, Security Classification: PUBLIC</cp:keywords>
  <dc:description/>
  <cp:lastModifiedBy>Jo Anne Morrison</cp:lastModifiedBy>
  <cp:revision>28</cp:revision>
  <cp:lastPrinted>2019-11-08T21:06:00Z</cp:lastPrinted>
  <dcterms:created xsi:type="dcterms:W3CDTF">2017-12-06T21:59:00Z</dcterms:created>
  <dcterms:modified xsi:type="dcterms:W3CDTF">2020-10-01T19:36:00Z</dcterms:modified>
</cp:coreProperties>
</file>