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5652"/>
        <w:gridCol w:w="3261"/>
      </w:tblGrid>
      <w:tr w:rsidR="0073006C" w:rsidRPr="000226F4" w14:paraId="57524011" w14:textId="77777777" w:rsidTr="0058049F">
        <w:trPr>
          <w:trHeight w:val="841"/>
        </w:trPr>
        <w:tc>
          <w:tcPr>
            <w:tcW w:w="1147" w:type="dxa"/>
            <w:vAlign w:val="center"/>
            <w:hideMark/>
          </w:tcPr>
          <w:p w14:paraId="3265A9CE" w14:textId="77777777" w:rsidR="0073006C" w:rsidRPr="006469CC" w:rsidRDefault="0073006C" w:rsidP="0058049F">
            <w:pPr>
              <w:rPr>
                <w:rFonts w:ascii="Arial" w:hAnsi="Arial" w:cs="Arial"/>
                <w:szCs w:val="28"/>
              </w:rPr>
            </w:pPr>
            <w:r w:rsidRPr="006469CC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5652" w:type="dxa"/>
            <w:vAlign w:val="center"/>
          </w:tcPr>
          <w:p w14:paraId="01302399" w14:textId="794FF764" w:rsidR="0073006C" w:rsidRPr="006469CC" w:rsidRDefault="0073006C" w:rsidP="0058049F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Product Storage Checklist Example</w:t>
            </w:r>
          </w:p>
        </w:tc>
        <w:tc>
          <w:tcPr>
            <w:tcW w:w="3261" w:type="dxa"/>
            <w:vAlign w:val="center"/>
            <w:hideMark/>
          </w:tcPr>
          <w:p w14:paraId="2ED25D4E" w14:textId="77777777" w:rsidR="0073006C" w:rsidRPr="006469CC" w:rsidRDefault="0073006C" w:rsidP="0058049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6A12CBC3" w14:textId="77777777" w:rsidR="00964F46" w:rsidRDefault="00964F46" w:rsidP="0073006C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  <w:lang w:val="en-CA"/>
        </w:rPr>
      </w:pPr>
    </w:p>
    <w:p w14:paraId="27D041F5" w14:textId="77777777" w:rsidR="00964F46" w:rsidRPr="004560CA" w:rsidRDefault="00964F46" w:rsidP="0073006C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  <w:lang w:val="en-CA"/>
        </w:rPr>
      </w:pPr>
    </w:p>
    <w:tbl>
      <w:tblPr>
        <w:tblW w:w="10627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969"/>
        <w:gridCol w:w="4395"/>
      </w:tblGrid>
      <w:tr w:rsidR="00AE18B7" w:rsidRPr="004560CA" w14:paraId="7FBC97B5" w14:textId="77777777" w:rsidTr="00AE18B7">
        <w:tc>
          <w:tcPr>
            <w:tcW w:w="2263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7146F37" w14:textId="77777777" w:rsidR="00FB1B1A" w:rsidRDefault="00B70D0C" w:rsidP="00FB1B1A">
            <w:pPr>
              <w:ind w:right="-22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bookmarkStart w:id="0" w:name="_Hlk230078807"/>
            <w:r w:rsidRPr="004560CA">
              <w:rPr>
                <w:rFonts w:ascii="Arial" w:eastAsia="Arial" w:hAnsi="Arial" w:cs="Arial"/>
                <w:color w:val="333333"/>
                <w:sz w:val="20"/>
                <w:szCs w:val="20"/>
              </w:rPr>
              <w:t>Date: ______________</w:t>
            </w:r>
          </w:p>
          <w:p w14:paraId="4ECF4244" w14:textId="7CE86FF4" w:rsidR="00FB1B1A" w:rsidRPr="00FB1B1A" w:rsidRDefault="00FB1B1A" w:rsidP="00FB1B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02E18A1" w14:textId="40A40425" w:rsidR="00FB1B1A" w:rsidRPr="00FB1B1A" w:rsidRDefault="00AE18B7" w:rsidP="00FB1B1A">
            <w:pPr>
              <w:ind w:right="-218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Monitor</w:t>
            </w:r>
            <w:r w:rsidR="00B70D0C" w:rsidRPr="004560CA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Name / Initials: _______________</w:t>
            </w:r>
          </w:p>
        </w:tc>
        <w:tc>
          <w:tcPr>
            <w:tcW w:w="4395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6EF9A5F" w14:textId="0C06D699" w:rsidR="00964F46" w:rsidRPr="00FB1B1A" w:rsidRDefault="00B70D0C" w:rsidP="00FA4B12">
            <w:pPr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Conducted during inventory count?  </w:t>
            </w:r>
            <w:proofErr w:type="gramStart"/>
            <w:r w:rsidRPr="004560CA">
              <w:rPr>
                <w:rFonts w:ascii="Arial" w:eastAsia="Arial" w:hAnsi="Arial" w:cs="Arial"/>
                <w:color w:val="333333"/>
                <w:sz w:val="20"/>
                <w:szCs w:val="20"/>
              </w:rPr>
              <w:t>Yes  /</w:t>
            </w:r>
            <w:proofErr w:type="gramEnd"/>
            <w:r w:rsidRPr="004560CA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No</w:t>
            </w:r>
          </w:p>
          <w:p w14:paraId="03737783" w14:textId="77777777" w:rsidR="00964F46" w:rsidRPr="004560CA" w:rsidRDefault="00964F46" w:rsidP="00FA4B12">
            <w:pPr>
              <w:rPr>
                <w:sz w:val="20"/>
                <w:szCs w:val="20"/>
              </w:rPr>
            </w:pPr>
          </w:p>
        </w:tc>
      </w:tr>
      <w:bookmarkEnd w:id="0"/>
    </w:tbl>
    <w:p w14:paraId="0550A674" w14:textId="21EA1D5C" w:rsidR="00AE18B7" w:rsidRPr="00AE18B7" w:rsidRDefault="00AE18B7" w:rsidP="00B70D0C">
      <w:pPr>
        <w:rPr>
          <w:rFonts w:ascii="Arial" w:hAnsi="Arial" w:cs="Arial"/>
          <w:sz w:val="20"/>
          <w:szCs w:val="20"/>
          <w:lang w:val="en-CA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6"/>
        <w:gridCol w:w="476"/>
        <w:gridCol w:w="527"/>
        <w:gridCol w:w="4676"/>
      </w:tblGrid>
      <w:tr w:rsidR="00B70D0C" w:rsidRPr="004560CA" w14:paraId="1A0A0EC8" w14:textId="77777777" w:rsidTr="00B70D0C">
        <w:tc>
          <w:tcPr>
            <w:tcW w:w="4946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97BA4A1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proofErr w:type="gramStart"/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 Physical</w:t>
            </w:r>
            <w:proofErr w:type="gramEnd"/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Storage Requirements</w:t>
            </w:r>
          </w:p>
        </w:tc>
        <w:tc>
          <w:tcPr>
            <w:tcW w:w="476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7679E82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7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D38E24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7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A4CA95C" w14:textId="58C7C8EE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Comments / Corrective Action </w:t>
            </w:r>
            <w:r w:rsidR="00735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Taken</w:t>
            </w:r>
          </w:p>
        </w:tc>
      </w:tr>
      <w:tr w:rsidR="00B70D0C" w:rsidRPr="004560CA" w14:paraId="12018BE5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E5D8C3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All products stored off the floor (minimum 15 cm / 6").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B97CF8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FBFE8D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613381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2FD94698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060943A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All products stored away from walls (minimum 30 cm / 12") to allow pest monitoring and cleaning.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234C3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2F96F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BFA2E8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66781A89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76046C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Products stored on clean pallets or shelving with adequate airflow between items.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46D7C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92E7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B8BEAF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5B421F9A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89EE73E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No overloading of shelving or storage units that would restrict airflow.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19F775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373DB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752D9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080C4C90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C34FCF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No unused equipment, empty containers, or discontinued ingredients stored in coolers or freezers.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D96B2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07E6C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2EEB79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2A3C2BA4" w14:textId="77777777" w:rsidTr="00B70D0C">
        <w:tc>
          <w:tcPr>
            <w:tcW w:w="4946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AE1EE5A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proofErr w:type="gramStart"/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 Product</w:t>
            </w:r>
            <w:proofErr w:type="gramEnd"/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Separation and Cross-Contamination Prevention</w:t>
            </w:r>
          </w:p>
        </w:tc>
        <w:tc>
          <w:tcPr>
            <w:tcW w:w="476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881DBD2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7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8DADB1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7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F12AB23" w14:textId="6B97D7F0" w:rsidR="00946319" w:rsidRPr="004560CA" w:rsidRDefault="006365DC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Comments / Corrective Action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Taken</w:t>
            </w:r>
          </w:p>
        </w:tc>
      </w:tr>
      <w:tr w:rsidR="00B70D0C" w:rsidRPr="004560CA" w14:paraId="08E81D58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6308D2" w14:textId="5E7D36AD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Raw meat stored separately from cooked and ready-to-eat products</w:t>
            </w:r>
            <w:r w:rsidR="006848D8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63CC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57123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B207F5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7D7D9619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BBA7C8E" w14:textId="7412722D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Inspected meat physically separated from uninspected meat. Uninspected meat is clearly identified</w:t>
            </w:r>
            <w:r w:rsidR="00D75FB2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92748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4CAE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7C56B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6715B191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5F44394" w14:textId="02B31B11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Allergen-controlled products stored in designated, labelled areas on lower shelving</w:t>
            </w:r>
            <w:r w:rsidR="00D75FB2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16068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C2EE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4F30F3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2988D9F6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649F8F8" w14:textId="2C221240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Chemicals stored in designated areas, away from food, packaging materials, and food contact surfaces</w:t>
            </w:r>
            <w:r w:rsidR="00D75FB2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10E2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8894B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E7D2A6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70F34B3A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1E79EE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Packaging materials stored in designated covered area, off the floor, away from processing rooms.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83E7B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1D62C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42062A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44FF1E40" w14:textId="77777777" w:rsidTr="00B70D0C">
        <w:tc>
          <w:tcPr>
            <w:tcW w:w="4946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099E555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 Labelling, Covering, and FIFO</w:t>
            </w:r>
          </w:p>
        </w:tc>
        <w:tc>
          <w:tcPr>
            <w:tcW w:w="476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AFFD20E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7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32A5DA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7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B584941" w14:textId="743255B1" w:rsidR="00946319" w:rsidRPr="004560CA" w:rsidRDefault="006365DC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Comments / Corrective Action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Taken</w:t>
            </w:r>
          </w:p>
        </w:tc>
      </w:tr>
      <w:tr w:rsidR="00B70D0C" w:rsidRPr="004560CA" w14:paraId="2ADCC227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A385CB6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All opened bulk packages transferred to sealed, approved containers labelled with product name and date opened.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97554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26EEBC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A16641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4EF86A90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2111347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All exposed or opened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product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susceptible to contamination or drying out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is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covered.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1D8514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7148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2B44BB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30E26CC5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B1CEBBB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FIFO rotation applied — oldest product is accessible and positioned to be used first.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8C4179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87EF3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AE866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20A87374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7381A0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All products have visible date codes (Date Received, Packaged On, Sell By, as applicable).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0E2F1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F0F4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0A7EA0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5859F6A7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61ECDF" w14:textId="7919B914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No expired product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remaining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in active stock</w:t>
            </w:r>
            <w:r w:rsidR="00FF133B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92F02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D2D48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5ED68F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5D949DA7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58422F" w14:textId="6ADE228F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4560CA">
              <w:rPr>
                <w:rFonts w:ascii="Arial" w:eastAsia="Arial" w:hAnsi="Arial" w:cs="Arial"/>
                <w:sz w:val="20"/>
                <w:szCs w:val="20"/>
              </w:rPr>
              <w:t>unlabelled</w:t>
            </w:r>
            <w:proofErr w:type="spell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product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or containers in any storage area</w:t>
            </w:r>
            <w:r w:rsidR="00FF133B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EFAC8F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BBDF97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7D5E39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6AA68DA0" w14:textId="77777777" w:rsidTr="00B70D0C">
        <w:tc>
          <w:tcPr>
            <w:tcW w:w="4946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970ED8E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4.  Carcass Storage</w:t>
            </w:r>
          </w:p>
        </w:tc>
        <w:tc>
          <w:tcPr>
            <w:tcW w:w="476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C562AE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7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0B9340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7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C0E462B" w14:textId="776D8AB0" w:rsidR="00946319" w:rsidRPr="004560CA" w:rsidRDefault="006365DC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Comments / Corrective Action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Taken</w:t>
            </w:r>
          </w:p>
        </w:tc>
      </w:tr>
      <w:tr w:rsidR="00B70D0C" w:rsidRPr="004560CA" w14:paraId="1C6D6AFB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2942133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Carcasses suspended with adequate spacing to allow air circulation.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A4E7C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31C44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440B2D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40C9F9A4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ADEA6A" w14:textId="0478228C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Carcasses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not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contacting walls, racks,</w:t>
            </w:r>
            <w:r w:rsidR="00832521">
              <w:rPr>
                <w:rFonts w:ascii="Arial" w:eastAsia="Arial" w:hAnsi="Arial" w:cs="Arial"/>
                <w:sz w:val="20"/>
                <w:szCs w:val="20"/>
              </w:rPr>
              <w:t xml:space="preserve"> floors,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or other surfaces.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6A612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1DD7E8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F0B12E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4841BBE7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F7AF0CE" w14:textId="4252AF73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No boxed or packaged product stored directly below hanging carcasses</w:t>
            </w:r>
            <w:r w:rsidR="00A1546B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4DBB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DBCE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E466A0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1E0D2B42" w14:textId="77777777" w:rsidTr="00B70D0C">
        <w:tc>
          <w:tcPr>
            <w:tcW w:w="4946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CD26278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proofErr w:type="gramStart"/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 Cooler</w:t>
            </w:r>
            <w:proofErr w:type="gramEnd"/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Freezer Condition</w:t>
            </w:r>
          </w:p>
        </w:tc>
        <w:tc>
          <w:tcPr>
            <w:tcW w:w="476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E186192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7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863FEED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7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F377841" w14:textId="099A3723" w:rsidR="00946319" w:rsidRPr="004560CA" w:rsidRDefault="006365DC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Comments / Corrective Action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Taken</w:t>
            </w:r>
          </w:p>
        </w:tc>
      </w:tr>
      <w:tr w:rsidR="00B70D0C" w:rsidRPr="004560CA" w14:paraId="2B29DA87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A414E0D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Coolers free of excessive dust, ice buildup, and off-</w:t>
            </w:r>
            <w:proofErr w:type="spellStart"/>
            <w:r w:rsidRPr="004560CA">
              <w:rPr>
                <w:rFonts w:ascii="Arial" w:eastAsia="Arial" w:hAnsi="Arial" w:cs="Arial"/>
                <w:sz w:val="20"/>
                <w:szCs w:val="20"/>
              </w:rPr>
              <w:t>odours</w:t>
            </w:r>
            <w:proofErr w:type="spellEnd"/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5C4913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6C3D97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837B9C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73117BE2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FB13220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Freezers free of excessive ice buildup and off-</w:t>
            </w:r>
            <w:proofErr w:type="spellStart"/>
            <w:r w:rsidRPr="004560CA">
              <w:rPr>
                <w:rFonts w:ascii="Arial" w:eastAsia="Arial" w:hAnsi="Arial" w:cs="Arial"/>
                <w:sz w:val="20"/>
                <w:szCs w:val="20"/>
              </w:rPr>
              <w:t>odours</w:t>
            </w:r>
            <w:proofErr w:type="spellEnd"/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DCE199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77AAD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BA45B8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5788DAC0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0CA775B" w14:textId="66E0B02C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No signs of product spoilage, </w:t>
            </w:r>
            <w:proofErr w:type="spellStart"/>
            <w:r w:rsidRPr="004560CA">
              <w:rPr>
                <w:rFonts w:ascii="Arial" w:eastAsia="Arial" w:hAnsi="Arial" w:cs="Arial"/>
                <w:sz w:val="20"/>
                <w:szCs w:val="20"/>
              </w:rPr>
              <w:t>mould</w:t>
            </w:r>
            <w:proofErr w:type="spell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, sliminess, or unusual </w:t>
            </w:r>
            <w:proofErr w:type="spellStart"/>
            <w:r w:rsidRPr="004560CA">
              <w:rPr>
                <w:rFonts w:ascii="Arial" w:eastAsia="Arial" w:hAnsi="Arial" w:cs="Arial"/>
                <w:sz w:val="20"/>
                <w:szCs w:val="20"/>
              </w:rPr>
              <w:t>odours</w:t>
            </w:r>
            <w:proofErr w:type="spellEnd"/>
            <w:r w:rsidR="00FF133B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1810C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0A2E5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60208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7069FFD9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83CDC88" w14:textId="7921A75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Storage temperatures confirmed within acceptable range (refer to Storage Temperature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Record)</w:t>
            </w:r>
            <w:r w:rsidR="00A1546B">
              <w:rPr>
                <w:rFonts w:ascii="Arial" w:eastAsia="Arial" w:hAnsi="Arial" w:cs="Arial"/>
                <w:sz w:val="20"/>
                <w:szCs w:val="20"/>
              </w:rPr>
              <w:t>*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50CA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2FB79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160928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055FB090" w14:textId="77777777" w:rsidTr="00B70D0C">
        <w:tc>
          <w:tcPr>
            <w:tcW w:w="4946" w:type="dxa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D890A24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 Chemical Storage</w:t>
            </w:r>
          </w:p>
        </w:tc>
        <w:tc>
          <w:tcPr>
            <w:tcW w:w="476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D56C68A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7" w:type="dxa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50B9692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7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89C0B06" w14:textId="27A0F9E9" w:rsidR="00946319" w:rsidRPr="004560CA" w:rsidRDefault="006365DC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Comments / Corrective Action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Taken</w:t>
            </w:r>
          </w:p>
        </w:tc>
      </w:tr>
      <w:tr w:rsidR="00B70D0C" w:rsidRPr="004560CA" w14:paraId="2C9507D8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3052D73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All chemicals stored in designated areas with correct, legible labels.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D63E7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E679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37E690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62921846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C5AA1AA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Diluted or decanted chemicals labelled with chemical name, concentration, and date prepared.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8D97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A8012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CFF90C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52AE65DE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9BA2A3F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Acids and bases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stored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separately to prevent accidental mixing.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F36D2F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B063B0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ED38F2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B70D0C" w:rsidRPr="004560CA" w14:paraId="1CD74C84" w14:textId="77777777" w:rsidTr="00B70D0C">
        <w:tc>
          <w:tcPr>
            <w:tcW w:w="4946" w:type="dx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86DA35" w14:textId="77777777" w:rsidR="00946319" w:rsidRPr="004560CA" w:rsidRDefault="00946319" w:rsidP="00FA4B12">
            <w:pPr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Pesticides/restricted chemicals stored in locked </w:t>
            </w:r>
            <w:proofErr w:type="gramStart"/>
            <w:r w:rsidRPr="004560CA">
              <w:rPr>
                <w:rFonts w:ascii="Arial" w:eastAsia="Arial" w:hAnsi="Arial" w:cs="Arial"/>
                <w:sz w:val="20"/>
                <w:szCs w:val="20"/>
              </w:rPr>
              <w:t>area</w:t>
            </w:r>
            <w:proofErr w:type="gramEnd"/>
            <w:r w:rsidRPr="004560CA">
              <w:rPr>
                <w:rFonts w:ascii="Arial" w:eastAsia="Arial" w:hAnsi="Arial" w:cs="Arial"/>
                <w:sz w:val="20"/>
                <w:szCs w:val="20"/>
              </w:rPr>
              <w:t xml:space="preserve"> with restricted access.</w:t>
            </w:r>
          </w:p>
        </w:tc>
        <w:tc>
          <w:tcPr>
            <w:tcW w:w="4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DCD96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5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4E563" w14:textId="77777777" w:rsidR="00946319" w:rsidRPr="004560CA" w:rsidRDefault="00946319" w:rsidP="00FA4B12">
            <w:pPr>
              <w:jc w:val="center"/>
              <w:rPr>
                <w:sz w:val="20"/>
                <w:szCs w:val="20"/>
              </w:rPr>
            </w:pPr>
            <w:r w:rsidRPr="004560CA"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46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90BE0B" w14:textId="77777777" w:rsidR="00946319" w:rsidRPr="004560CA" w:rsidRDefault="00946319" w:rsidP="00FA4B12">
            <w:pPr>
              <w:rPr>
                <w:sz w:val="20"/>
                <w:szCs w:val="20"/>
              </w:rPr>
            </w:pPr>
          </w:p>
        </w:tc>
      </w:tr>
      <w:tr w:rsidR="00D104A1" w:rsidRPr="004560CA" w14:paraId="1352F5A0" w14:textId="77777777" w:rsidTr="00B51D71">
        <w:tc>
          <w:tcPr>
            <w:tcW w:w="10625" w:type="dxa"/>
            <w:gridSpan w:val="4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3AC2E1" w14:textId="0F2D5B5F" w:rsidR="00D104A1" w:rsidRPr="004560CA" w:rsidRDefault="00D104A1" w:rsidP="00FA4B1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Verifier initials and date:</w:t>
            </w:r>
            <w:r w:rsidR="00BD0B6A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Verifier comments:        </w:t>
            </w:r>
          </w:p>
        </w:tc>
      </w:tr>
    </w:tbl>
    <w:p w14:paraId="0F8F91D7" w14:textId="77777777" w:rsidR="00D4487C" w:rsidRPr="004560CA" w:rsidRDefault="00D4487C" w:rsidP="00066C23">
      <w:pPr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2309E98B" w14:textId="77777777" w:rsidR="00D9261F" w:rsidRDefault="00D9261F" w:rsidP="00D9261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CA"/>
        </w:rPr>
        <w:t xml:space="preserve">This record needs to be completed every month. </w:t>
      </w:r>
      <w:r w:rsidRPr="002D2BFD">
        <w:rPr>
          <w:rFonts w:ascii="Arial" w:eastAsia="Arial" w:hAnsi="Arial" w:cs="Arial"/>
          <w:color w:val="333333"/>
          <w:sz w:val="20"/>
          <w:szCs w:val="20"/>
        </w:rPr>
        <w:t xml:space="preserve">For each item, mark Yes (conforming), No (non-conforming), or record N/A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(in comments) </w:t>
      </w:r>
      <w:r w:rsidRPr="002D2BFD">
        <w:rPr>
          <w:rFonts w:ascii="Arial" w:eastAsia="Arial" w:hAnsi="Arial" w:cs="Arial"/>
          <w:color w:val="333333"/>
          <w:sz w:val="20"/>
          <w:szCs w:val="20"/>
        </w:rPr>
        <w:t>where the item does not apply.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 items with an asterisk symbol (*) are important for food safety and are required to be strictly followed</w:t>
      </w:r>
      <w:r w:rsidRPr="004560CA">
        <w:rPr>
          <w:rFonts w:ascii="Arial" w:hAnsi="Arial" w:cs="Arial"/>
          <w:bCs/>
          <w:sz w:val="20"/>
          <w:szCs w:val="20"/>
        </w:rPr>
        <w:t xml:space="preserve">. </w:t>
      </w:r>
    </w:p>
    <w:p w14:paraId="5573070D" w14:textId="77777777" w:rsidR="00D9261F" w:rsidRDefault="00D9261F" w:rsidP="008725F2">
      <w:pPr>
        <w:rPr>
          <w:rFonts w:ascii="Arial" w:hAnsi="Arial" w:cs="Arial"/>
          <w:bCs/>
          <w:sz w:val="20"/>
          <w:szCs w:val="20"/>
        </w:rPr>
      </w:pPr>
    </w:p>
    <w:p w14:paraId="2546E746" w14:textId="5039D37B" w:rsidR="008725F2" w:rsidRPr="004560CA" w:rsidRDefault="00754112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case of a deviation, notify the operator or designated supervisor immediately. </w:t>
      </w:r>
      <w:r w:rsidR="00105F94" w:rsidRPr="004560CA">
        <w:rPr>
          <w:rFonts w:ascii="Arial" w:hAnsi="Arial" w:cs="Arial"/>
          <w:bCs/>
          <w:sz w:val="20"/>
          <w:szCs w:val="20"/>
        </w:rPr>
        <w:t>Document</w:t>
      </w:r>
      <w:r w:rsidR="00C0158C" w:rsidRPr="004560CA">
        <w:rPr>
          <w:rFonts w:ascii="Arial" w:hAnsi="Arial" w:cs="Arial"/>
          <w:bCs/>
          <w:sz w:val="20"/>
          <w:szCs w:val="20"/>
        </w:rPr>
        <w:t xml:space="preserve"> </w:t>
      </w:r>
      <w:r w:rsidR="00772171" w:rsidRPr="004560CA">
        <w:rPr>
          <w:rFonts w:ascii="Arial" w:hAnsi="Arial" w:cs="Arial"/>
          <w:bCs/>
          <w:sz w:val="20"/>
          <w:szCs w:val="20"/>
        </w:rPr>
        <w:t xml:space="preserve">in </w:t>
      </w:r>
      <w:r w:rsidR="002A38F6">
        <w:rPr>
          <w:rFonts w:ascii="Arial" w:hAnsi="Arial" w:cs="Arial"/>
          <w:bCs/>
          <w:sz w:val="20"/>
          <w:szCs w:val="20"/>
        </w:rPr>
        <w:t>Comments</w:t>
      </w:r>
      <w:r w:rsidR="00772171" w:rsidRPr="004560CA">
        <w:rPr>
          <w:rFonts w:ascii="Arial" w:hAnsi="Arial" w:cs="Arial"/>
          <w:bCs/>
          <w:sz w:val="20"/>
          <w:szCs w:val="20"/>
        </w:rPr>
        <w:t>/Corrective Action</w:t>
      </w:r>
      <w:r w:rsidR="002A38F6">
        <w:rPr>
          <w:rFonts w:ascii="Arial" w:hAnsi="Arial" w:cs="Arial"/>
          <w:bCs/>
          <w:sz w:val="20"/>
          <w:szCs w:val="20"/>
        </w:rPr>
        <w:t xml:space="preserve"> Taken</w:t>
      </w:r>
      <w:r w:rsidR="00772171" w:rsidRPr="004560CA">
        <w:rPr>
          <w:rFonts w:ascii="Arial" w:hAnsi="Arial" w:cs="Arial"/>
          <w:bCs/>
          <w:sz w:val="20"/>
          <w:szCs w:val="20"/>
        </w:rPr>
        <w:t xml:space="preserve"> column in case of any </w:t>
      </w:r>
      <w:r w:rsidR="00531BFC" w:rsidRPr="004560CA">
        <w:rPr>
          <w:rFonts w:ascii="Arial" w:hAnsi="Arial" w:cs="Arial"/>
          <w:bCs/>
          <w:sz w:val="20"/>
          <w:szCs w:val="20"/>
        </w:rPr>
        <w:t>non-conformances.</w:t>
      </w:r>
      <w:r w:rsidR="00105F94" w:rsidRPr="004560CA">
        <w:rPr>
          <w:rFonts w:ascii="Arial" w:hAnsi="Arial" w:cs="Arial"/>
          <w:bCs/>
          <w:sz w:val="20"/>
          <w:szCs w:val="20"/>
        </w:rPr>
        <w:t xml:space="preserve"> </w:t>
      </w:r>
      <w:r w:rsidR="00105F94" w:rsidRPr="004560CA">
        <w:rPr>
          <w:rFonts w:ascii="Arial" w:hAnsi="Arial" w:cs="Arial"/>
          <w:sz w:val="20"/>
          <w:szCs w:val="20"/>
        </w:rPr>
        <w:t xml:space="preserve">If more space is needed, use back of record.   </w:t>
      </w:r>
    </w:p>
    <w:p w14:paraId="77BEA5C8" w14:textId="77777777" w:rsidR="00735B40" w:rsidRDefault="00735B40" w:rsidP="008725F2">
      <w:pPr>
        <w:rPr>
          <w:rFonts w:ascii="Arial" w:hAnsi="Arial" w:cs="Arial"/>
          <w:bCs/>
          <w:sz w:val="20"/>
          <w:szCs w:val="20"/>
        </w:rPr>
      </w:pPr>
    </w:p>
    <w:p w14:paraId="01F64A2E" w14:textId="3DDEE18D" w:rsidR="007A4F0B" w:rsidRDefault="007A4F0B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Record verification</w:t>
      </w:r>
      <w:r w:rsidR="009816D2">
        <w:rPr>
          <w:rFonts w:ascii="Arial" w:hAnsi="Arial" w:cs="Arial"/>
          <w:bCs/>
          <w:sz w:val="20"/>
          <w:szCs w:val="20"/>
        </w:rPr>
        <w:t xml:space="preserve"> is required for each record.</w:t>
      </w:r>
    </w:p>
    <w:p w14:paraId="66B01B21" w14:textId="091B9380" w:rsidR="00945870" w:rsidRPr="004560CA" w:rsidRDefault="002A38F6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="00EF2DAC" w:rsidRPr="004560CA">
        <w:rPr>
          <w:rFonts w:ascii="Arial" w:hAnsi="Arial" w:cs="Arial"/>
          <w:bCs/>
          <w:sz w:val="20"/>
          <w:szCs w:val="20"/>
        </w:rPr>
        <w:t xml:space="preserve">n-site verification is required </w:t>
      </w:r>
      <w:r w:rsidR="0075038B" w:rsidRPr="004560CA">
        <w:rPr>
          <w:rFonts w:ascii="Arial" w:hAnsi="Arial" w:cs="Arial"/>
          <w:bCs/>
          <w:sz w:val="20"/>
          <w:szCs w:val="20"/>
        </w:rPr>
        <w:t xml:space="preserve">to be completed </w:t>
      </w:r>
      <w:r w:rsidR="00EF2DAC" w:rsidRPr="004560CA">
        <w:rPr>
          <w:rFonts w:ascii="Arial" w:hAnsi="Arial" w:cs="Arial"/>
          <w:bCs/>
          <w:sz w:val="20"/>
          <w:szCs w:val="20"/>
        </w:rPr>
        <w:t>once a</w:t>
      </w:r>
      <w:r w:rsidR="007A4F0B">
        <w:rPr>
          <w:rFonts w:ascii="Arial" w:hAnsi="Arial" w:cs="Arial"/>
          <w:bCs/>
          <w:sz w:val="20"/>
          <w:szCs w:val="20"/>
        </w:rPr>
        <w:t xml:space="preserve"> quarter, i.e. once every 3 months</w:t>
      </w:r>
      <w:r w:rsidR="00EF2DAC" w:rsidRPr="004560CA">
        <w:rPr>
          <w:rFonts w:ascii="Arial" w:hAnsi="Arial" w:cs="Arial"/>
          <w:bCs/>
          <w:sz w:val="20"/>
          <w:szCs w:val="20"/>
        </w:rPr>
        <w:t>.</w:t>
      </w:r>
    </w:p>
    <w:p w14:paraId="74E23638" w14:textId="77777777" w:rsidR="008725F2" w:rsidRDefault="008725F2" w:rsidP="00B52D02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4728A0A" w14:textId="77777777" w:rsidR="00196B37" w:rsidRPr="004560CA" w:rsidRDefault="00196B37" w:rsidP="00B52D02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bookmarkStart w:id="1" w:name="_Hlk229562530"/>
    <w:p w14:paraId="08161E8C" w14:textId="2717B340" w:rsidR="00CF4C25" w:rsidRPr="004560CA" w:rsidRDefault="00D104A1" w:rsidP="008E2E28">
      <w:pPr>
        <w:pStyle w:val="Footer"/>
        <w:ind w:left="425" w:hanging="425"/>
        <w:rPr>
          <w:rFonts w:ascii="Arial" w:hAnsi="Arial" w:cs="Arial"/>
          <w:sz w:val="20"/>
          <w:szCs w:val="20"/>
        </w:rPr>
      </w:pPr>
      <w:r w:rsidRPr="004560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BC2F6" wp14:editId="35B9E854">
                <wp:simplePos x="0" y="0"/>
                <wp:positionH relativeFrom="column">
                  <wp:posOffset>3667760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1194147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95C83" id="Rectangle 7" o:spid="_x0000_s1026" style="position:absolute;margin-left:288.8pt;margin-top:.4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"/>
            </w:pict>
          </mc:Fallback>
        </mc:AlternateContent>
      </w:r>
      <w:r w:rsidRPr="004560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F5FC2" wp14:editId="6F8AAA73">
                <wp:simplePos x="0" y="0"/>
                <wp:positionH relativeFrom="column">
                  <wp:posOffset>4550492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11881683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59346" id="Rectangle 7" o:spid="_x0000_s1026" style="position:absolute;margin-left:358.3pt;margin-top:.4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CNFayL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t>Date of on-site verification</w:t>
      </w:r>
      <w:r w:rsidR="00CF4C25" w:rsidRPr="004560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 w:rsidR="00CF4C25" w:rsidRPr="004560C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4C25" w:rsidRPr="004560CA">
        <w:rPr>
          <w:rFonts w:ascii="Arial" w:hAnsi="Arial" w:cs="Arial"/>
          <w:sz w:val="20"/>
          <w:szCs w:val="20"/>
        </w:rPr>
        <w:t>initials: _</w:t>
      </w:r>
      <w:proofErr w:type="gramEnd"/>
      <w:r w:rsidR="00CF4C25" w:rsidRPr="004560CA">
        <w:rPr>
          <w:rFonts w:ascii="Arial" w:hAnsi="Arial" w:cs="Arial"/>
          <w:sz w:val="20"/>
          <w:szCs w:val="20"/>
        </w:rPr>
        <w:t xml:space="preserve">_______________ Result:   </w:t>
      </w:r>
      <w:r w:rsidR="00AA0C7D" w:rsidRPr="004560CA">
        <w:rPr>
          <w:rFonts w:ascii="Arial" w:hAnsi="Arial" w:cs="Arial"/>
          <w:sz w:val="20"/>
          <w:szCs w:val="20"/>
        </w:rPr>
        <w:t xml:space="preserve">   </w:t>
      </w:r>
      <w:r w:rsidR="00CF4C25" w:rsidRPr="004560CA">
        <w:rPr>
          <w:rFonts w:ascii="Arial" w:hAnsi="Arial" w:cs="Arial"/>
          <w:sz w:val="20"/>
          <w:szCs w:val="20"/>
        </w:rPr>
        <w:t>acceptable        unacceptable-requires follow-up</w:t>
      </w:r>
    </w:p>
    <w:bookmarkEnd w:id="1"/>
    <w:p w14:paraId="20FD496E" w14:textId="77777777" w:rsidR="00196B37" w:rsidRDefault="00196B37" w:rsidP="00105F94">
      <w:pPr>
        <w:tabs>
          <w:tab w:val="left" w:pos="2895"/>
        </w:tabs>
        <w:rPr>
          <w:rFonts w:ascii="Arial" w:hAnsi="Arial" w:cs="Arial"/>
          <w:sz w:val="20"/>
          <w:szCs w:val="20"/>
          <w:lang w:val="en-CA"/>
        </w:rPr>
      </w:pPr>
    </w:p>
    <w:p w14:paraId="7574C9DF" w14:textId="092664FF" w:rsidR="006637A3" w:rsidRPr="004560CA" w:rsidRDefault="00D104A1" w:rsidP="00105F94">
      <w:pPr>
        <w:tabs>
          <w:tab w:val="left" w:pos="2895"/>
        </w:tabs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Comments</w:t>
      </w:r>
      <w:r w:rsidR="006637A3" w:rsidRPr="004560CA">
        <w:rPr>
          <w:rFonts w:ascii="Arial" w:hAnsi="Arial" w:cs="Arial"/>
          <w:sz w:val="20"/>
          <w:szCs w:val="20"/>
          <w:lang w:val="en-CA"/>
        </w:rPr>
        <w:t>:</w:t>
      </w:r>
      <w:r w:rsidR="00105F94" w:rsidRPr="004560CA">
        <w:rPr>
          <w:rFonts w:ascii="Arial" w:hAnsi="Arial" w:cs="Arial"/>
          <w:sz w:val="20"/>
          <w:szCs w:val="20"/>
          <w:lang w:val="en-CA"/>
        </w:rPr>
        <w:tab/>
      </w:r>
    </w:p>
    <w:sectPr w:rsidR="006637A3" w:rsidRPr="004560CA" w:rsidSect="00FB1B1A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10" w:right="1080" w:bottom="720" w:left="849" w:header="284" w:footer="61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FBDA" w14:textId="77777777" w:rsidR="006B429C" w:rsidRDefault="006B429C" w:rsidP="00971486">
      <w:r>
        <w:separator/>
      </w:r>
    </w:p>
  </w:endnote>
  <w:endnote w:type="continuationSeparator" w:id="0">
    <w:p w14:paraId="4D5C83C4" w14:textId="77777777" w:rsidR="006B429C" w:rsidRDefault="006B429C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2333" w14:textId="29CD4EF1" w:rsidR="00592935" w:rsidRDefault="00AC010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45A2EF8" wp14:editId="0A98E2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08779141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E34C7" w14:textId="76CBAC3A" w:rsidR="00AC0101" w:rsidRPr="00AC0101" w:rsidRDefault="00AC0101" w:rsidP="00AC0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0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A2E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79CE34C7" w14:textId="76CBAC3A" w:rsidR="00AC0101" w:rsidRPr="00AC0101" w:rsidRDefault="00AC0101" w:rsidP="00AC0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C010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92FC" w14:textId="0E6D521A" w:rsidR="006365DC" w:rsidRDefault="006B429C">
    <w:pPr>
      <w:pStyle w:val="Footer"/>
      <w:jc w:val="right"/>
    </w:pPr>
    <w:sdt>
      <w:sdtPr>
        <w:id w:val="10459463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65DC" w:rsidRPr="00AC0101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6365DC" w:rsidRPr="00AC0101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6365DC" w:rsidRPr="00AC0101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6365DC" w:rsidRPr="00AC0101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6365DC" w:rsidRPr="00AC0101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17EA7782" w14:textId="2F36BD06" w:rsidR="00592935" w:rsidRDefault="00AC0101" w:rsidP="00AC0101">
    <w:pPr>
      <w:pStyle w:val="Footer"/>
      <w:tabs>
        <w:tab w:val="clear" w:pos="4680"/>
        <w:tab w:val="left" w:pos="93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7809F6BE" w:rsidR="007C571C" w:rsidRPr="007C571C" w:rsidRDefault="00AC0101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4BDF05" wp14:editId="0699B3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33725821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A3FEB" w14:textId="6EE2BEB5" w:rsidR="00AC0101" w:rsidRPr="00AC0101" w:rsidRDefault="00AC0101" w:rsidP="00AC0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0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BDF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left:0;text-align:left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0B2A3FEB" w14:textId="6EE2BEB5" w:rsidR="00AC0101" w:rsidRPr="00AC0101" w:rsidRDefault="00AC0101" w:rsidP="00AC0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C010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 w:rsidR="007C571C" w:rsidRPr="007C571C">
          <w:rPr>
            <w:rFonts w:ascii="Arial" w:hAnsi="Arial" w:cs="Arial"/>
            <w:sz w:val="20"/>
            <w:szCs w:val="20"/>
          </w:rPr>
          <w:fldChar w:fldCharType="begin"/>
        </w:r>
        <w:r w:rsidR="007C571C" w:rsidRPr="007C571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C571C" w:rsidRPr="007C571C">
          <w:rPr>
            <w:rFonts w:ascii="Arial" w:hAnsi="Arial" w:cs="Arial"/>
            <w:sz w:val="20"/>
            <w:szCs w:val="20"/>
          </w:rPr>
          <w:fldChar w:fldCharType="separate"/>
        </w:r>
        <w:r w:rsidR="007C571C" w:rsidRPr="007C571C">
          <w:rPr>
            <w:rFonts w:ascii="Arial" w:hAnsi="Arial" w:cs="Arial"/>
            <w:noProof/>
            <w:sz w:val="20"/>
            <w:szCs w:val="20"/>
          </w:rPr>
          <w:t>2</w:t>
        </w:r>
        <w:r w:rsidR="007C571C" w:rsidRPr="007C571C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B90B" w14:textId="77777777" w:rsidR="006B429C" w:rsidRDefault="006B429C" w:rsidP="00971486">
      <w:r>
        <w:separator/>
      </w:r>
    </w:p>
  </w:footnote>
  <w:footnote w:type="continuationSeparator" w:id="0">
    <w:p w14:paraId="7345BF8A" w14:textId="77777777" w:rsidR="006B429C" w:rsidRDefault="006B429C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2D40" w14:textId="77777777" w:rsidR="00D62ABD" w:rsidRDefault="00D62ABD" w:rsidP="00D62ABD">
    <w:pPr>
      <w:jc w:val="right"/>
      <w:rPr>
        <w:rFonts w:ascii="Arial" w:hAnsi="Arial" w:cs="Arial"/>
        <w:sz w:val="18"/>
        <w:szCs w:val="18"/>
        <w:lang w:val="en-CA"/>
      </w:rPr>
    </w:pPr>
    <w:r w:rsidRPr="0055157E">
      <w:rPr>
        <w:rFonts w:ascii="Arial" w:hAnsi="Arial" w:cs="Arial"/>
        <w:noProof/>
        <w:sz w:val="18"/>
        <w:szCs w:val="18"/>
        <w:lang w:val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27AC24" wp14:editId="0603BF6B">
              <wp:simplePos x="0" y="0"/>
              <wp:positionH relativeFrom="margin">
                <wp:posOffset>-28575</wp:posOffset>
              </wp:positionH>
              <wp:positionV relativeFrom="paragraph">
                <wp:posOffset>143510</wp:posOffset>
              </wp:positionV>
              <wp:extent cx="952500" cy="140462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225AA" w14:textId="77777777" w:rsidR="00D62ABD" w:rsidRPr="004E6C48" w:rsidRDefault="00D62ABD" w:rsidP="00D62AB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E6C4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Company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27AC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.25pt;margin-top:11.3pt;width: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">
              <v:textbox style="mso-fit-shape-to-text:t">
                <w:txbxContent>
                  <w:p w14:paraId="166225AA" w14:textId="77777777" w:rsidR="00D62ABD" w:rsidRPr="004E6C48" w:rsidRDefault="00D62ABD" w:rsidP="00D62AB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E6C48">
                      <w:rPr>
                        <w:rFonts w:ascii="Arial" w:hAnsi="Arial" w:cs="Arial"/>
                        <w:sz w:val="18"/>
                        <w:szCs w:val="18"/>
                      </w:rPr>
                      <w:t>Company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237D3">
      <w:rPr>
        <w:rFonts w:ascii="Arial" w:hAnsi="Arial" w:cs="Arial"/>
        <w:sz w:val="18"/>
        <w:szCs w:val="18"/>
        <w:lang w:val="en-CA"/>
      </w:rPr>
      <w:t>Version#01</w:t>
    </w:r>
  </w:p>
  <w:p w14:paraId="5554B9FA" w14:textId="77777777" w:rsidR="00D62ABD" w:rsidRDefault="00D62ABD" w:rsidP="00D62ABD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Last revised on: 05/15/2026</w:t>
    </w:r>
  </w:p>
  <w:p w14:paraId="2E6FA1D5" w14:textId="77777777" w:rsidR="00D62ABD" w:rsidRDefault="00D62ABD" w:rsidP="00D62ABD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Approved by: John Doe</w:t>
    </w:r>
  </w:p>
  <w:p w14:paraId="1EAEF7BF" w14:textId="6F1C93CB" w:rsidR="000237D3" w:rsidRPr="00D62ABD" w:rsidRDefault="00D62ABD" w:rsidP="00D62ABD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Effective Date: 05/30/2026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22CD9"/>
    <w:rsid w:val="000237D3"/>
    <w:rsid w:val="00024558"/>
    <w:rsid w:val="00030B1A"/>
    <w:rsid w:val="00046606"/>
    <w:rsid w:val="00066C23"/>
    <w:rsid w:val="00087799"/>
    <w:rsid w:val="000A274F"/>
    <w:rsid w:val="000A6778"/>
    <w:rsid w:val="000B701C"/>
    <w:rsid w:val="000D63F1"/>
    <w:rsid w:val="000E2C94"/>
    <w:rsid w:val="000E4C60"/>
    <w:rsid w:val="000E6293"/>
    <w:rsid w:val="000E773E"/>
    <w:rsid w:val="000F326E"/>
    <w:rsid w:val="000F378B"/>
    <w:rsid w:val="000F5503"/>
    <w:rsid w:val="00105F94"/>
    <w:rsid w:val="00121A83"/>
    <w:rsid w:val="001225A4"/>
    <w:rsid w:val="00137B00"/>
    <w:rsid w:val="0016018E"/>
    <w:rsid w:val="00196B37"/>
    <w:rsid w:val="001D0894"/>
    <w:rsid w:val="001D4E5D"/>
    <w:rsid w:val="001D50CC"/>
    <w:rsid w:val="001D75B1"/>
    <w:rsid w:val="001E4163"/>
    <w:rsid w:val="002039A4"/>
    <w:rsid w:val="00211AC1"/>
    <w:rsid w:val="0021446E"/>
    <w:rsid w:val="0023579E"/>
    <w:rsid w:val="00257206"/>
    <w:rsid w:val="00281CD2"/>
    <w:rsid w:val="00282866"/>
    <w:rsid w:val="00284DA4"/>
    <w:rsid w:val="00291B4E"/>
    <w:rsid w:val="002A0B68"/>
    <w:rsid w:val="002A38F6"/>
    <w:rsid w:val="002A715F"/>
    <w:rsid w:val="002C2536"/>
    <w:rsid w:val="002D1169"/>
    <w:rsid w:val="002D2BFD"/>
    <w:rsid w:val="002E515C"/>
    <w:rsid w:val="0030075F"/>
    <w:rsid w:val="003068C2"/>
    <w:rsid w:val="00323ABF"/>
    <w:rsid w:val="00343FA2"/>
    <w:rsid w:val="00357771"/>
    <w:rsid w:val="00357B30"/>
    <w:rsid w:val="00383DA7"/>
    <w:rsid w:val="003E0C8A"/>
    <w:rsid w:val="003E4C28"/>
    <w:rsid w:val="003E4CBC"/>
    <w:rsid w:val="003E5CAD"/>
    <w:rsid w:val="003F310B"/>
    <w:rsid w:val="00412BB5"/>
    <w:rsid w:val="00424125"/>
    <w:rsid w:val="00434C19"/>
    <w:rsid w:val="004419AD"/>
    <w:rsid w:val="0044392E"/>
    <w:rsid w:val="004560CA"/>
    <w:rsid w:val="004628E9"/>
    <w:rsid w:val="0047211C"/>
    <w:rsid w:val="00475E8C"/>
    <w:rsid w:val="004A04D2"/>
    <w:rsid w:val="004C4C0C"/>
    <w:rsid w:val="004C665E"/>
    <w:rsid w:val="004C744B"/>
    <w:rsid w:val="004D4598"/>
    <w:rsid w:val="004E5BEA"/>
    <w:rsid w:val="004F36E3"/>
    <w:rsid w:val="00506690"/>
    <w:rsid w:val="005202C1"/>
    <w:rsid w:val="00526C7E"/>
    <w:rsid w:val="00531BFC"/>
    <w:rsid w:val="00541F55"/>
    <w:rsid w:val="00546C7D"/>
    <w:rsid w:val="00560FCB"/>
    <w:rsid w:val="00592935"/>
    <w:rsid w:val="005A2163"/>
    <w:rsid w:val="005C46AB"/>
    <w:rsid w:val="005C5F87"/>
    <w:rsid w:val="005C7454"/>
    <w:rsid w:val="005D246B"/>
    <w:rsid w:val="005E3FFE"/>
    <w:rsid w:val="005E7D04"/>
    <w:rsid w:val="005F2375"/>
    <w:rsid w:val="006229F5"/>
    <w:rsid w:val="00635476"/>
    <w:rsid w:val="006365DC"/>
    <w:rsid w:val="006408F2"/>
    <w:rsid w:val="00645DEA"/>
    <w:rsid w:val="006637A3"/>
    <w:rsid w:val="00663FA4"/>
    <w:rsid w:val="00670852"/>
    <w:rsid w:val="0067540D"/>
    <w:rsid w:val="006848D8"/>
    <w:rsid w:val="006A0714"/>
    <w:rsid w:val="006B0288"/>
    <w:rsid w:val="006B429C"/>
    <w:rsid w:val="006D131B"/>
    <w:rsid w:val="006D2EB5"/>
    <w:rsid w:val="006D3D1F"/>
    <w:rsid w:val="006D6C46"/>
    <w:rsid w:val="006E5FA5"/>
    <w:rsid w:val="00711DB9"/>
    <w:rsid w:val="00713202"/>
    <w:rsid w:val="0072502D"/>
    <w:rsid w:val="0073006C"/>
    <w:rsid w:val="00735B40"/>
    <w:rsid w:val="00743455"/>
    <w:rsid w:val="0075038B"/>
    <w:rsid w:val="00754112"/>
    <w:rsid w:val="00772171"/>
    <w:rsid w:val="00783922"/>
    <w:rsid w:val="007A4F0B"/>
    <w:rsid w:val="007B53DB"/>
    <w:rsid w:val="007C0571"/>
    <w:rsid w:val="007C571C"/>
    <w:rsid w:val="007D3127"/>
    <w:rsid w:val="007E6973"/>
    <w:rsid w:val="008026D6"/>
    <w:rsid w:val="00806661"/>
    <w:rsid w:val="00825471"/>
    <w:rsid w:val="0083018B"/>
    <w:rsid w:val="00832521"/>
    <w:rsid w:val="00842369"/>
    <w:rsid w:val="00861AB2"/>
    <w:rsid w:val="008725F2"/>
    <w:rsid w:val="00877CFE"/>
    <w:rsid w:val="0088335A"/>
    <w:rsid w:val="008863EC"/>
    <w:rsid w:val="00886AAC"/>
    <w:rsid w:val="00886D96"/>
    <w:rsid w:val="00891002"/>
    <w:rsid w:val="008C047F"/>
    <w:rsid w:val="008D4C7E"/>
    <w:rsid w:val="008E2E28"/>
    <w:rsid w:val="008E5A0A"/>
    <w:rsid w:val="008F78AF"/>
    <w:rsid w:val="009169A8"/>
    <w:rsid w:val="0092557B"/>
    <w:rsid w:val="009334E2"/>
    <w:rsid w:val="00945870"/>
    <w:rsid w:val="00945F33"/>
    <w:rsid w:val="00946319"/>
    <w:rsid w:val="009523F4"/>
    <w:rsid w:val="00956A06"/>
    <w:rsid w:val="00964144"/>
    <w:rsid w:val="00964F46"/>
    <w:rsid w:val="00971486"/>
    <w:rsid w:val="009816D2"/>
    <w:rsid w:val="00983791"/>
    <w:rsid w:val="009943E8"/>
    <w:rsid w:val="009B49D2"/>
    <w:rsid w:val="009D2A87"/>
    <w:rsid w:val="009D52B3"/>
    <w:rsid w:val="009E2C05"/>
    <w:rsid w:val="00A06D93"/>
    <w:rsid w:val="00A078A7"/>
    <w:rsid w:val="00A1546B"/>
    <w:rsid w:val="00A36331"/>
    <w:rsid w:val="00A8232B"/>
    <w:rsid w:val="00A92E3C"/>
    <w:rsid w:val="00A96C39"/>
    <w:rsid w:val="00AA0C7D"/>
    <w:rsid w:val="00AB5DC8"/>
    <w:rsid w:val="00AC0101"/>
    <w:rsid w:val="00AE18B7"/>
    <w:rsid w:val="00B006E9"/>
    <w:rsid w:val="00B10438"/>
    <w:rsid w:val="00B10447"/>
    <w:rsid w:val="00B12027"/>
    <w:rsid w:val="00B13604"/>
    <w:rsid w:val="00B349F2"/>
    <w:rsid w:val="00B3504A"/>
    <w:rsid w:val="00B375E8"/>
    <w:rsid w:val="00B52D02"/>
    <w:rsid w:val="00B70D0C"/>
    <w:rsid w:val="00B83963"/>
    <w:rsid w:val="00B92BF5"/>
    <w:rsid w:val="00BA1176"/>
    <w:rsid w:val="00BA1C53"/>
    <w:rsid w:val="00BA5391"/>
    <w:rsid w:val="00BD0B6A"/>
    <w:rsid w:val="00BD2C06"/>
    <w:rsid w:val="00C0158C"/>
    <w:rsid w:val="00C160F9"/>
    <w:rsid w:val="00C214D2"/>
    <w:rsid w:val="00C22D17"/>
    <w:rsid w:val="00C40C45"/>
    <w:rsid w:val="00C42757"/>
    <w:rsid w:val="00C47826"/>
    <w:rsid w:val="00C6069E"/>
    <w:rsid w:val="00C60ED6"/>
    <w:rsid w:val="00C656EB"/>
    <w:rsid w:val="00C66F43"/>
    <w:rsid w:val="00C749D3"/>
    <w:rsid w:val="00C80246"/>
    <w:rsid w:val="00C904CA"/>
    <w:rsid w:val="00CB35FB"/>
    <w:rsid w:val="00CE0304"/>
    <w:rsid w:val="00CE1884"/>
    <w:rsid w:val="00CF4C25"/>
    <w:rsid w:val="00D07BF4"/>
    <w:rsid w:val="00D104A1"/>
    <w:rsid w:val="00D17C90"/>
    <w:rsid w:val="00D4487C"/>
    <w:rsid w:val="00D44B21"/>
    <w:rsid w:val="00D62ABD"/>
    <w:rsid w:val="00D745B7"/>
    <w:rsid w:val="00D75FB2"/>
    <w:rsid w:val="00D77812"/>
    <w:rsid w:val="00D83F1A"/>
    <w:rsid w:val="00D9261F"/>
    <w:rsid w:val="00D9341B"/>
    <w:rsid w:val="00DB3D3B"/>
    <w:rsid w:val="00DC29D8"/>
    <w:rsid w:val="00DC7175"/>
    <w:rsid w:val="00DE0B06"/>
    <w:rsid w:val="00DE47B3"/>
    <w:rsid w:val="00E12E20"/>
    <w:rsid w:val="00E1599E"/>
    <w:rsid w:val="00E20AA4"/>
    <w:rsid w:val="00E359CE"/>
    <w:rsid w:val="00E66D54"/>
    <w:rsid w:val="00E70194"/>
    <w:rsid w:val="00E95C90"/>
    <w:rsid w:val="00EA1FBF"/>
    <w:rsid w:val="00EC22F1"/>
    <w:rsid w:val="00EC7DC0"/>
    <w:rsid w:val="00ED7268"/>
    <w:rsid w:val="00EE7F4A"/>
    <w:rsid w:val="00EF2DAC"/>
    <w:rsid w:val="00EF31A1"/>
    <w:rsid w:val="00EF6EEB"/>
    <w:rsid w:val="00F02CB6"/>
    <w:rsid w:val="00F24B98"/>
    <w:rsid w:val="00F5276B"/>
    <w:rsid w:val="00F62868"/>
    <w:rsid w:val="00F67CC8"/>
    <w:rsid w:val="00F745AC"/>
    <w:rsid w:val="00F77C15"/>
    <w:rsid w:val="00F81D62"/>
    <w:rsid w:val="00FA4DB4"/>
    <w:rsid w:val="00FB1B1A"/>
    <w:rsid w:val="00FB2B01"/>
    <w:rsid w:val="00FC2F39"/>
    <w:rsid w:val="00FC3A57"/>
    <w:rsid w:val="00FD33D2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D726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D7268"/>
    <w:rPr>
      <w:rFonts w:ascii="Times New Roman" w:eastAsiaTheme="majorEastAsia" w:hAnsi="Times New Roman" w:cstheme="majorBidi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176</TotalTime>
  <Pages>2</Pages>
  <Words>603</Words>
  <Characters>3295</Characters>
  <Application>Microsoft Office Word</Application>
  <DocSecurity>0</DocSecurity>
  <Lines>205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Product Storage Checklist Example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Product Storage Checklist Example</dc:title>
  <dc:subject>Meat, Abattoir, Meat Facility Standards, MFS 2022, storage, record, checklist</dc:subject>
  <dc:creator>Government of Alberta- Agriculture and Irrigation- Food Safety</dc:creator>
  <cp:keywords>Security Classification: PUBLIC</cp:keywords>
  <dc:description/>
  <cp:revision>115</cp:revision>
  <cp:lastPrinted>2024-05-16T19:17:00Z</cp:lastPrinted>
  <dcterms:created xsi:type="dcterms:W3CDTF">2026-05-13T17:06:00Z</dcterms:created>
  <dcterms:modified xsi:type="dcterms:W3CDTF">2026-06-12T16:06:00Z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1,2,3,7599e50f,141a26e6,53f84385,4657a3ec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</Properties>
</file>